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738E" w14:textId="77777777" w:rsidR="00165737" w:rsidRPr="00370669" w:rsidRDefault="00222865" w:rsidP="00402954">
      <w:pPr>
        <w:jc w:val="center"/>
        <w:rPr>
          <w:rFonts w:ascii="Calibri" w:hAnsi="Calibri" w:cs="Calibri"/>
          <w:b/>
          <w:sz w:val="24"/>
          <w:szCs w:val="24"/>
        </w:rPr>
      </w:pPr>
      <w:r w:rsidRPr="00370669">
        <w:rPr>
          <w:rFonts w:ascii="Calibri" w:hAnsi="Calibri" w:cs="Calibri"/>
          <w:b/>
          <w:sz w:val="24"/>
          <w:szCs w:val="24"/>
        </w:rPr>
        <w:t xml:space="preserve"> </w:t>
      </w:r>
      <w:r w:rsidR="00165737" w:rsidRPr="00370669">
        <w:rPr>
          <w:rFonts w:ascii="Calibri" w:hAnsi="Calibri" w:cs="Calibri"/>
          <w:b/>
          <w:sz w:val="24"/>
          <w:szCs w:val="24"/>
        </w:rPr>
        <w:t>RAYONIER ADVANCED MATERIALS INC.</w:t>
      </w:r>
    </w:p>
    <w:p w14:paraId="3B8BF085" w14:textId="77777777" w:rsidR="00165737" w:rsidRPr="00370669" w:rsidRDefault="00165737" w:rsidP="00402954">
      <w:pPr>
        <w:jc w:val="center"/>
        <w:rPr>
          <w:rFonts w:ascii="Calibri" w:hAnsi="Calibri" w:cs="Calibri"/>
          <w:b/>
          <w:sz w:val="24"/>
          <w:szCs w:val="24"/>
        </w:rPr>
      </w:pPr>
      <w:r w:rsidRPr="00370669">
        <w:rPr>
          <w:rFonts w:ascii="Calibri" w:hAnsi="Calibri" w:cs="Calibri"/>
          <w:b/>
          <w:sz w:val="24"/>
          <w:szCs w:val="24"/>
        </w:rPr>
        <w:br/>
        <w:t>Charter of the Compensation and Management Development Committee</w:t>
      </w:r>
    </w:p>
    <w:p w14:paraId="0296E14E" w14:textId="77777777" w:rsidR="00165737" w:rsidRPr="00370669" w:rsidRDefault="00165737" w:rsidP="00402954">
      <w:pPr>
        <w:jc w:val="center"/>
        <w:rPr>
          <w:rFonts w:ascii="Calibri" w:hAnsi="Calibri" w:cs="Calibri"/>
          <w:b/>
          <w:sz w:val="24"/>
          <w:szCs w:val="24"/>
        </w:rPr>
      </w:pPr>
    </w:p>
    <w:p w14:paraId="714E2FA5" w14:textId="68CE6D0C" w:rsidR="00165737" w:rsidRPr="00370669" w:rsidRDefault="00165737" w:rsidP="00402954">
      <w:pPr>
        <w:jc w:val="center"/>
        <w:rPr>
          <w:rFonts w:ascii="Calibri" w:hAnsi="Calibri" w:cs="Calibri"/>
          <w:b/>
          <w:sz w:val="24"/>
          <w:szCs w:val="24"/>
        </w:rPr>
      </w:pPr>
      <w:r w:rsidRPr="00370669">
        <w:rPr>
          <w:rFonts w:ascii="Calibri" w:hAnsi="Calibri" w:cs="Calibri"/>
          <w:b/>
          <w:sz w:val="24"/>
          <w:szCs w:val="24"/>
        </w:rPr>
        <w:t xml:space="preserve">Adopted </w:t>
      </w:r>
      <w:r w:rsidR="00D83695">
        <w:rPr>
          <w:rFonts w:ascii="Calibri" w:hAnsi="Calibri" w:cs="Calibri"/>
          <w:b/>
          <w:sz w:val="24"/>
          <w:szCs w:val="24"/>
        </w:rPr>
        <w:t>July</w:t>
      </w:r>
      <w:r w:rsidR="009304DF">
        <w:rPr>
          <w:rFonts w:ascii="Calibri" w:hAnsi="Calibri" w:cs="Calibri"/>
          <w:b/>
          <w:sz w:val="24"/>
          <w:szCs w:val="24"/>
        </w:rPr>
        <w:t xml:space="preserve"> </w:t>
      </w:r>
      <w:r w:rsidR="00E3592D">
        <w:rPr>
          <w:rFonts w:ascii="Calibri" w:hAnsi="Calibri" w:cs="Calibri"/>
          <w:b/>
          <w:sz w:val="24"/>
          <w:szCs w:val="24"/>
        </w:rPr>
        <w:t>16</w:t>
      </w:r>
      <w:r w:rsidR="00B16EA2">
        <w:rPr>
          <w:rFonts w:ascii="Calibri" w:hAnsi="Calibri" w:cs="Calibri"/>
          <w:b/>
          <w:sz w:val="24"/>
          <w:szCs w:val="24"/>
        </w:rPr>
        <w:t>, 20</w:t>
      </w:r>
      <w:r w:rsidR="00B15187">
        <w:rPr>
          <w:rFonts w:ascii="Calibri" w:hAnsi="Calibri" w:cs="Calibri"/>
          <w:b/>
          <w:sz w:val="24"/>
          <w:szCs w:val="24"/>
        </w:rPr>
        <w:t>2</w:t>
      </w:r>
      <w:r w:rsidR="00C050A5">
        <w:rPr>
          <w:rFonts w:ascii="Calibri" w:hAnsi="Calibri" w:cs="Calibri"/>
          <w:b/>
          <w:sz w:val="24"/>
          <w:szCs w:val="24"/>
        </w:rPr>
        <w:t>5</w:t>
      </w:r>
    </w:p>
    <w:p w14:paraId="5F86C3A1" w14:textId="77777777" w:rsidR="00165737" w:rsidRPr="00370669" w:rsidRDefault="00165737" w:rsidP="00402954">
      <w:pPr>
        <w:jc w:val="center"/>
        <w:rPr>
          <w:rFonts w:ascii="Calibri" w:hAnsi="Calibri" w:cs="Calibri"/>
          <w:sz w:val="24"/>
          <w:szCs w:val="24"/>
        </w:rPr>
      </w:pPr>
    </w:p>
    <w:p w14:paraId="500BDD9D" w14:textId="77777777" w:rsidR="00165737" w:rsidRPr="00370669" w:rsidRDefault="00165737" w:rsidP="00402954">
      <w:pPr>
        <w:tabs>
          <w:tab w:val="num" w:pos="720"/>
        </w:tabs>
        <w:ind w:left="288" w:hanging="288"/>
        <w:rPr>
          <w:rFonts w:ascii="Calibri" w:hAnsi="Calibri" w:cs="Calibri"/>
          <w:b/>
          <w:sz w:val="24"/>
          <w:szCs w:val="24"/>
        </w:rPr>
      </w:pPr>
      <w:r w:rsidRPr="00370669">
        <w:rPr>
          <w:rFonts w:ascii="Calibri" w:hAnsi="Calibri" w:cs="Calibri"/>
          <w:b/>
          <w:sz w:val="24"/>
          <w:szCs w:val="24"/>
        </w:rPr>
        <w:t>General</w:t>
      </w:r>
    </w:p>
    <w:p w14:paraId="7241BFFA" w14:textId="77777777" w:rsidR="00165737" w:rsidRPr="00370669" w:rsidRDefault="00165737" w:rsidP="00402954">
      <w:pPr>
        <w:rPr>
          <w:rFonts w:ascii="Calibri" w:hAnsi="Calibri" w:cs="Calibri"/>
          <w:sz w:val="24"/>
          <w:szCs w:val="24"/>
        </w:rPr>
      </w:pPr>
    </w:p>
    <w:p w14:paraId="5F6EC1E5" w14:textId="77777777" w:rsidR="00165737" w:rsidRPr="00370669" w:rsidRDefault="00165737" w:rsidP="00402954">
      <w:pPr>
        <w:jc w:val="both"/>
        <w:rPr>
          <w:rFonts w:ascii="Calibri" w:hAnsi="Calibri" w:cs="Calibri"/>
          <w:sz w:val="24"/>
          <w:szCs w:val="24"/>
        </w:rPr>
      </w:pPr>
      <w:r w:rsidRPr="00370669">
        <w:rPr>
          <w:rFonts w:ascii="Calibri" w:hAnsi="Calibri" w:cs="Calibri"/>
          <w:sz w:val="24"/>
          <w:szCs w:val="24"/>
        </w:rPr>
        <w:tab/>
        <w:t xml:space="preserve">The Compensation and Management Development Committee (the “Committee”) of the Board of Directors of Rayonier Advanced Materials Inc. (the “Company”) is the administrator of the compensation and benefits programs for all employees of the Company with overall authority to establish and interpret the terms of the Company’s salary and incentive programs. The goal of these programs is to attract and retain highly qualified individuals with skills suited to the needs of the Company and to appropriately motivate and reward performance that will lead to enhancement of </w:t>
      </w:r>
      <w:r w:rsidR="00985EE9" w:rsidRPr="00370669">
        <w:rPr>
          <w:rFonts w:ascii="Calibri" w:hAnsi="Calibri" w:cs="Calibri"/>
          <w:sz w:val="24"/>
          <w:szCs w:val="24"/>
        </w:rPr>
        <w:t xml:space="preserve">stockholder </w:t>
      </w:r>
      <w:r w:rsidRPr="00370669">
        <w:rPr>
          <w:rFonts w:ascii="Calibri" w:hAnsi="Calibri" w:cs="Calibri"/>
          <w:sz w:val="24"/>
          <w:szCs w:val="24"/>
        </w:rPr>
        <w:t>value in an increasingly competitive business environment.</w:t>
      </w:r>
    </w:p>
    <w:p w14:paraId="37115392" w14:textId="77777777" w:rsidR="00165737" w:rsidRPr="00370669" w:rsidRDefault="00165737" w:rsidP="00402954">
      <w:pPr>
        <w:rPr>
          <w:rFonts w:ascii="Calibri" w:hAnsi="Calibri" w:cs="Calibri"/>
          <w:b/>
          <w:sz w:val="24"/>
          <w:szCs w:val="24"/>
        </w:rPr>
      </w:pPr>
    </w:p>
    <w:p w14:paraId="2EBFD8AA" w14:textId="77777777" w:rsidR="00165737" w:rsidRPr="00370669" w:rsidRDefault="00165737" w:rsidP="00402954">
      <w:pPr>
        <w:tabs>
          <w:tab w:val="num" w:pos="720"/>
        </w:tabs>
        <w:ind w:left="288" w:hanging="288"/>
        <w:rPr>
          <w:rFonts w:ascii="Calibri" w:hAnsi="Calibri" w:cs="Calibri"/>
          <w:b/>
          <w:sz w:val="24"/>
          <w:szCs w:val="24"/>
        </w:rPr>
      </w:pPr>
      <w:r w:rsidRPr="00370669">
        <w:rPr>
          <w:rFonts w:ascii="Calibri" w:hAnsi="Calibri" w:cs="Calibri"/>
          <w:b/>
          <w:sz w:val="24"/>
          <w:szCs w:val="24"/>
        </w:rPr>
        <w:t>Purpose</w:t>
      </w:r>
    </w:p>
    <w:p w14:paraId="10E7B652" w14:textId="77777777" w:rsidR="00165737" w:rsidRPr="00370669" w:rsidRDefault="00165737" w:rsidP="00402954">
      <w:pPr>
        <w:rPr>
          <w:rFonts w:ascii="Calibri" w:hAnsi="Calibri" w:cs="Calibri"/>
          <w:b/>
          <w:sz w:val="24"/>
          <w:szCs w:val="24"/>
        </w:rPr>
      </w:pPr>
    </w:p>
    <w:p w14:paraId="244A22FC" w14:textId="77777777" w:rsidR="00165737" w:rsidRPr="00370669" w:rsidRDefault="00165737" w:rsidP="00402954">
      <w:pPr>
        <w:jc w:val="both"/>
        <w:rPr>
          <w:rFonts w:ascii="Calibri" w:hAnsi="Calibri" w:cs="Calibri"/>
          <w:b/>
          <w:sz w:val="24"/>
          <w:szCs w:val="24"/>
        </w:rPr>
      </w:pPr>
      <w:r w:rsidRPr="00370669">
        <w:rPr>
          <w:rFonts w:ascii="Calibri" w:hAnsi="Calibri" w:cs="Calibri"/>
          <w:sz w:val="24"/>
          <w:szCs w:val="24"/>
        </w:rPr>
        <w:tab/>
        <w:t xml:space="preserve">The purpose of the Committee shall be: (a) to discharge the Board of Director’s responsibilities relating to compensation and benefits of Company employees and in particular relating to the compensation of the Company’s executive officers and senior managers; (b) to assist the Board of Directors in overseeing management development and succession planning; (c) to review and recommend to the Board of Directors the Compensation Discussion and Analysis (the “CD&amp;A”) to be included in the Company’s annual proxy statement and (d) to prepare and publish a Compensation Committee Report for inclusion in the Company’s proxy statement that complies with the rules and regulations of the Securities and Exchange Commission (the “SEC”). </w:t>
      </w:r>
    </w:p>
    <w:p w14:paraId="4B2CE40E" w14:textId="77777777" w:rsidR="00165737" w:rsidRPr="00370669" w:rsidRDefault="00165737" w:rsidP="00402954">
      <w:pPr>
        <w:rPr>
          <w:rFonts w:ascii="Calibri" w:hAnsi="Calibri" w:cs="Calibri"/>
          <w:b/>
          <w:sz w:val="24"/>
          <w:szCs w:val="24"/>
        </w:rPr>
      </w:pPr>
    </w:p>
    <w:p w14:paraId="1435C401" w14:textId="77777777" w:rsidR="00165737" w:rsidRPr="00370669" w:rsidRDefault="00165737" w:rsidP="00402954">
      <w:pPr>
        <w:tabs>
          <w:tab w:val="num" w:pos="720"/>
        </w:tabs>
        <w:ind w:left="288" w:hanging="288"/>
        <w:rPr>
          <w:rFonts w:ascii="Calibri" w:hAnsi="Calibri" w:cs="Calibri"/>
          <w:b/>
          <w:sz w:val="24"/>
          <w:szCs w:val="24"/>
        </w:rPr>
      </w:pPr>
      <w:r w:rsidRPr="00370669">
        <w:rPr>
          <w:rFonts w:ascii="Calibri" w:hAnsi="Calibri" w:cs="Calibri"/>
          <w:b/>
          <w:sz w:val="24"/>
          <w:szCs w:val="24"/>
        </w:rPr>
        <w:t>Committee Membership</w:t>
      </w:r>
    </w:p>
    <w:p w14:paraId="6DAD28D0" w14:textId="77777777" w:rsidR="00165737" w:rsidRPr="00370669" w:rsidRDefault="00165737" w:rsidP="00402954">
      <w:pPr>
        <w:rPr>
          <w:rFonts w:ascii="Calibri" w:hAnsi="Calibri" w:cs="Calibri"/>
          <w:sz w:val="24"/>
          <w:szCs w:val="24"/>
        </w:rPr>
      </w:pPr>
    </w:p>
    <w:p w14:paraId="27039439" w14:textId="77777777" w:rsidR="00165737" w:rsidRPr="00370669" w:rsidRDefault="00165737" w:rsidP="00402954">
      <w:pPr>
        <w:jc w:val="both"/>
        <w:rPr>
          <w:rFonts w:ascii="Calibri" w:hAnsi="Calibri" w:cs="Calibri"/>
          <w:sz w:val="24"/>
          <w:szCs w:val="24"/>
        </w:rPr>
      </w:pPr>
      <w:r w:rsidRPr="00370669">
        <w:rPr>
          <w:rFonts w:ascii="Calibri" w:hAnsi="Calibri" w:cs="Calibri"/>
          <w:sz w:val="24"/>
          <w:szCs w:val="24"/>
        </w:rPr>
        <w:tab/>
        <w:t>The Committee shall consist of no fewer than three (3) directors appointed annually by the Board of Directors, in conjunction with its Nominating and Corporate Governance Committee.   The members of the Committee shall meet the independence requirements of Rule 10C-1(b)(1) under the Securities Exchange Act of 1934, as amended, and the New York Stock Exchange and any other independence standards adopted by the Board of Directors.  In addition, a person may serve on the Committee only if it is determined that the person is (i) a “Non-employee Director” for purposes of Rule 16b-3 under the Securities Exchange Act of 1934, as amended, and (ii) satisfies the requirements of an “outside director” for purposes of Section 162(m) of the Internal Revenue Code, as amended.  Directors serving on the Committee shall have sufficient knowledge and familiarity in the area of compensation practices and policies to discharge the duties and responsibilities of the Committee.</w:t>
      </w:r>
    </w:p>
    <w:p w14:paraId="4F5A0E78" w14:textId="77777777" w:rsidR="00165737" w:rsidRPr="00370669" w:rsidRDefault="00165737" w:rsidP="00402954">
      <w:pPr>
        <w:jc w:val="both"/>
        <w:rPr>
          <w:rFonts w:ascii="Calibri" w:hAnsi="Calibri" w:cs="Calibri"/>
          <w:sz w:val="24"/>
          <w:szCs w:val="24"/>
        </w:rPr>
      </w:pPr>
    </w:p>
    <w:p w14:paraId="4CEA0189" w14:textId="77777777" w:rsidR="00165737" w:rsidRPr="00370669" w:rsidRDefault="00165737" w:rsidP="00402954">
      <w:pPr>
        <w:jc w:val="both"/>
        <w:rPr>
          <w:rFonts w:ascii="Calibri" w:hAnsi="Calibri" w:cs="Calibri"/>
          <w:sz w:val="24"/>
          <w:szCs w:val="24"/>
        </w:rPr>
      </w:pPr>
      <w:r w:rsidRPr="00370669">
        <w:rPr>
          <w:rFonts w:ascii="Calibri" w:hAnsi="Calibri" w:cs="Calibri"/>
          <w:sz w:val="24"/>
          <w:szCs w:val="24"/>
        </w:rPr>
        <w:tab/>
        <w:t xml:space="preserve">One of the members of the Committee shall be designated by the Board of Directors to be </w:t>
      </w:r>
      <w:r w:rsidR="00402954" w:rsidRPr="00370669">
        <w:rPr>
          <w:rFonts w:ascii="Calibri" w:hAnsi="Calibri" w:cs="Calibri"/>
          <w:sz w:val="24"/>
          <w:szCs w:val="24"/>
        </w:rPr>
        <w:t>Chair</w:t>
      </w:r>
      <w:r w:rsidRPr="00370669">
        <w:rPr>
          <w:rFonts w:ascii="Calibri" w:hAnsi="Calibri" w:cs="Calibri"/>
          <w:sz w:val="24"/>
          <w:szCs w:val="24"/>
        </w:rPr>
        <w:t>.  Committee members may be added or removed by the Board of Directors at any time.</w:t>
      </w:r>
    </w:p>
    <w:p w14:paraId="4849CCD8" w14:textId="77777777" w:rsidR="00402954" w:rsidRPr="00370669" w:rsidRDefault="00402954" w:rsidP="00402954">
      <w:pPr>
        <w:tabs>
          <w:tab w:val="num" w:pos="720"/>
        </w:tabs>
        <w:ind w:left="288" w:hanging="288"/>
        <w:rPr>
          <w:rFonts w:ascii="Calibri" w:hAnsi="Calibri" w:cs="Calibri"/>
          <w:b/>
          <w:sz w:val="24"/>
          <w:szCs w:val="24"/>
        </w:rPr>
      </w:pPr>
    </w:p>
    <w:p w14:paraId="23EBEBC8" w14:textId="77777777" w:rsidR="00022742" w:rsidRDefault="00022742" w:rsidP="00402954">
      <w:pPr>
        <w:tabs>
          <w:tab w:val="num" w:pos="720"/>
        </w:tabs>
        <w:ind w:left="288" w:hanging="288"/>
        <w:rPr>
          <w:rFonts w:ascii="Calibri" w:hAnsi="Calibri" w:cs="Calibri"/>
          <w:b/>
          <w:sz w:val="24"/>
          <w:szCs w:val="24"/>
        </w:rPr>
      </w:pPr>
    </w:p>
    <w:p w14:paraId="52445FC5" w14:textId="6587C05F" w:rsidR="00165737" w:rsidRPr="00370669" w:rsidRDefault="00165737" w:rsidP="00402954">
      <w:pPr>
        <w:tabs>
          <w:tab w:val="num" w:pos="720"/>
        </w:tabs>
        <w:ind w:left="288" w:hanging="288"/>
        <w:rPr>
          <w:rFonts w:ascii="Calibri" w:hAnsi="Calibri" w:cs="Calibri"/>
          <w:b/>
          <w:sz w:val="24"/>
          <w:szCs w:val="24"/>
        </w:rPr>
      </w:pPr>
      <w:r w:rsidRPr="00370669">
        <w:rPr>
          <w:rFonts w:ascii="Calibri" w:hAnsi="Calibri" w:cs="Calibri"/>
          <w:b/>
          <w:sz w:val="24"/>
          <w:szCs w:val="24"/>
        </w:rPr>
        <w:lastRenderedPageBreak/>
        <w:t>Meetings</w:t>
      </w:r>
    </w:p>
    <w:p w14:paraId="241AF896" w14:textId="77777777" w:rsidR="00165737" w:rsidRPr="00370669" w:rsidRDefault="00165737" w:rsidP="00402954">
      <w:pPr>
        <w:rPr>
          <w:rFonts w:ascii="Calibri" w:hAnsi="Calibri" w:cs="Calibri"/>
          <w:sz w:val="24"/>
          <w:szCs w:val="24"/>
        </w:rPr>
      </w:pPr>
    </w:p>
    <w:p w14:paraId="39BF5B2C" w14:textId="77777777" w:rsidR="00165737" w:rsidRPr="00370669" w:rsidRDefault="00165737" w:rsidP="00402954">
      <w:pPr>
        <w:jc w:val="both"/>
        <w:rPr>
          <w:rFonts w:ascii="Calibri" w:hAnsi="Calibri" w:cs="Calibri"/>
          <w:sz w:val="24"/>
          <w:szCs w:val="24"/>
        </w:rPr>
      </w:pPr>
      <w:r w:rsidRPr="00370669">
        <w:rPr>
          <w:rFonts w:ascii="Calibri" w:hAnsi="Calibri" w:cs="Calibri"/>
          <w:sz w:val="24"/>
          <w:szCs w:val="24"/>
        </w:rPr>
        <w:tab/>
        <w:t xml:space="preserve">The Committee shall meet as often as it </w:t>
      </w:r>
      <w:proofErr w:type="gramStart"/>
      <w:r w:rsidRPr="00370669">
        <w:rPr>
          <w:rFonts w:ascii="Calibri" w:hAnsi="Calibri" w:cs="Calibri"/>
          <w:sz w:val="24"/>
          <w:szCs w:val="24"/>
        </w:rPr>
        <w:t>determines</w:t>
      </w:r>
      <w:proofErr w:type="gramEnd"/>
      <w:r w:rsidRPr="00370669">
        <w:rPr>
          <w:rFonts w:ascii="Calibri" w:hAnsi="Calibri" w:cs="Calibri"/>
          <w:sz w:val="24"/>
          <w:szCs w:val="24"/>
        </w:rPr>
        <w:t xml:space="preserve"> is necessary to carry out its responsibilities, but not less frequently than four</w:t>
      </w:r>
      <w:r w:rsidRPr="00370669">
        <w:rPr>
          <w:rFonts w:ascii="Calibri" w:hAnsi="Calibri" w:cs="Calibri"/>
          <w:b/>
          <w:sz w:val="24"/>
          <w:szCs w:val="24"/>
        </w:rPr>
        <w:t xml:space="preserve"> </w:t>
      </w:r>
      <w:r w:rsidRPr="00370669">
        <w:rPr>
          <w:rFonts w:ascii="Calibri" w:hAnsi="Calibri" w:cs="Calibri"/>
          <w:sz w:val="24"/>
          <w:szCs w:val="24"/>
        </w:rPr>
        <w:t xml:space="preserve">times per year.  The </w:t>
      </w:r>
      <w:r w:rsidR="00402954" w:rsidRPr="00370669">
        <w:rPr>
          <w:rFonts w:ascii="Calibri" w:hAnsi="Calibri" w:cs="Calibri"/>
          <w:sz w:val="24"/>
          <w:szCs w:val="24"/>
        </w:rPr>
        <w:t>Chair</w:t>
      </w:r>
      <w:r w:rsidRPr="00370669">
        <w:rPr>
          <w:rFonts w:ascii="Calibri" w:hAnsi="Calibri" w:cs="Calibri"/>
          <w:sz w:val="24"/>
          <w:szCs w:val="24"/>
        </w:rPr>
        <w:t xml:space="preserve"> shall chair all regular sessions of the Committee and set the agendas for the Committee meetings.  If the </w:t>
      </w:r>
      <w:r w:rsidR="00402954" w:rsidRPr="00370669">
        <w:rPr>
          <w:rFonts w:ascii="Calibri" w:hAnsi="Calibri" w:cs="Calibri"/>
          <w:sz w:val="24"/>
          <w:szCs w:val="24"/>
        </w:rPr>
        <w:t>Chair</w:t>
      </w:r>
      <w:r w:rsidRPr="00370669">
        <w:rPr>
          <w:rFonts w:ascii="Calibri" w:hAnsi="Calibri" w:cs="Calibri"/>
          <w:sz w:val="24"/>
          <w:szCs w:val="24"/>
        </w:rPr>
        <w:t xml:space="preserve"> is not present at a meeting, the Committee members present shall designate one of its members as the acting Chair of such meeting.</w:t>
      </w:r>
    </w:p>
    <w:p w14:paraId="7D19882A" w14:textId="77777777" w:rsidR="00165737" w:rsidRPr="00370669" w:rsidRDefault="00165737" w:rsidP="00402954">
      <w:pPr>
        <w:rPr>
          <w:rFonts w:ascii="Calibri" w:hAnsi="Calibri" w:cs="Calibri"/>
          <w:b/>
          <w:sz w:val="24"/>
          <w:szCs w:val="24"/>
        </w:rPr>
      </w:pPr>
    </w:p>
    <w:p w14:paraId="5789A3A6" w14:textId="77777777" w:rsidR="00165737" w:rsidRPr="00370669" w:rsidRDefault="00165737" w:rsidP="00402954">
      <w:pPr>
        <w:tabs>
          <w:tab w:val="num" w:pos="720"/>
        </w:tabs>
        <w:ind w:left="288" w:hanging="288"/>
        <w:jc w:val="both"/>
        <w:rPr>
          <w:rFonts w:ascii="Calibri" w:hAnsi="Calibri" w:cs="Calibri"/>
          <w:sz w:val="24"/>
          <w:szCs w:val="24"/>
        </w:rPr>
      </w:pPr>
      <w:r w:rsidRPr="00370669">
        <w:rPr>
          <w:rFonts w:ascii="Calibri" w:hAnsi="Calibri" w:cs="Calibri"/>
          <w:b/>
          <w:sz w:val="24"/>
          <w:szCs w:val="24"/>
        </w:rPr>
        <w:t>Committee Authority and Responsibilities</w:t>
      </w:r>
    </w:p>
    <w:p w14:paraId="565802D3" w14:textId="77777777" w:rsidR="00165737" w:rsidRPr="00370669" w:rsidRDefault="00165737" w:rsidP="008A09A5">
      <w:pPr>
        <w:jc w:val="both"/>
        <w:rPr>
          <w:rFonts w:ascii="Calibri" w:hAnsi="Calibri" w:cs="Calibri"/>
          <w:sz w:val="24"/>
          <w:szCs w:val="24"/>
        </w:rPr>
      </w:pPr>
    </w:p>
    <w:p w14:paraId="68C5CE88" w14:textId="77777777" w:rsidR="00C050A5" w:rsidRDefault="00165737" w:rsidP="00C932BB">
      <w:pPr>
        <w:jc w:val="both"/>
        <w:rPr>
          <w:rFonts w:ascii="Calibri" w:hAnsi="Calibri" w:cs="Calibri"/>
          <w:sz w:val="24"/>
          <w:szCs w:val="24"/>
        </w:rPr>
      </w:pPr>
      <w:r w:rsidRPr="00370669">
        <w:rPr>
          <w:rFonts w:ascii="Calibri" w:hAnsi="Calibri" w:cs="Calibri"/>
          <w:sz w:val="24"/>
          <w:szCs w:val="24"/>
        </w:rPr>
        <w:tab/>
        <w:t xml:space="preserve">The Committee shall have the authority to delegate its responsibilities to subcommittees (consisting of one or more members of the Committee) as the Committee deems appropriate.  </w:t>
      </w:r>
    </w:p>
    <w:p w14:paraId="21C56E46" w14:textId="77777777" w:rsidR="00C050A5" w:rsidRDefault="00C050A5" w:rsidP="00C932BB">
      <w:pPr>
        <w:jc w:val="both"/>
        <w:rPr>
          <w:rFonts w:ascii="Calibri" w:hAnsi="Calibri" w:cs="Calibri"/>
          <w:sz w:val="24"/>
          <w:szCs w:val="24"/>
        </w:rPr>
      </w:pPr>
    </w:p>
    <w:p w14:paraId="09714B99" w14:textId="02D397D6" w:rsidR="008A09A5" w:rsidRPr="00370669" w:rsidRDefault="008A09A5" w:rsidP="005F08BD">
      <w:pPr>
        <w:ind w:firstLine="720"/>
        <w:jc w:val="both"/>
        <w:rPr>
          <w:rFonts w:ascii="Calibri" w:hAnsi="Calibri" w:cs="Calibri"/>
          <w:sz w:val="24"/>
          <w:szCs w:val="24"/>
        </w:rPr>
      </w:pPr>
      <w:r w:rsidRPr="00370669">
        <w:rPr>
          <w:rFonts w:ascii="Calibri" w:hAnsi="Calibri" w:cs="Calibri"/>
          <w:sz w:val="24"/>
          <w:szCs w:val="24"/>
        </w:rPr>
        <w:t xml:space="preserve">(Fiduciary duties related to the administration of the ERISA covered pension benefit plans and the management and investment of such plans’ assets has been delegated to the Company’s Pension and Savings Plan Committee (“PASPC”).  </w:t>
      </w:r>
      <w:r w:rsidRPr="00370669">
        <w:rPr>
          <w:rFonts w:ascii="Calibri" w:hAnsi="Calibri" w:cs="Calibri"/>
          <w:sz w:val="24"/>
          <w:szCs w:val="24"/>
          <w:u w:color="0000FF"/>
        </w:rPr>
        <w:t>Administration of the Company’s ERISA covered welfare benefits plans has been delegated to the Company’s Chief Administrati</w:t>
      </w:r>
      <w:r w:rsidR="0024688B" w:rsidRPr="00370669">
        <w:rPr>
          <w:rFonts w:ascii="Calibri" w:hAnsi="Calibri" w:cs="Calibri"/>
          <w:sz w:val="24"/>
          <w:szCs w:val="24"/>
          <w:u w:color="0000FF"/>
        </w:rPr>
        <w:t>ve</w:t>
      </w:r>
      <w:r w:rsidRPr="00370669">
        <w:rPr>
          <w:rFonts w:ascii="Calibri" w:hAnsi="Calibri" w:cs="Calibri"/>
          <w:sz w:val="24"/>
          <w:szCs w:val="24"/>
          <w:u w:color="0000FF"/>
        </w:rPr>
        <w:t xml:space="preserve"> Officer and Senior Vice President, Human Resources (“SVP-Human Resources”). The activities of the PASPC and the </w:t>
      </w:r>
      <w:r w:rsidR="00C050A5">
        <w:rPr>
          <w:rFonts w:ascii="Calibri" w:hAnsi="Calibri" w:cs="Calibri"/>
          <w:sz w:val="24"/>
          <w:szCs w:val="24"/>
          <w:u w:color="0000FF"/>
        </w:rPr>
        <w:t xml:space="preserve">activities of the </w:t>
      </w:r>
      <w:r w:rsidRPr="00370669">
        <w:rPr>
          <w:rFonts w:ascii="Calibri" w:hAnsi="Calibri" w:cs="Calibri"/>
          <w:sz w:val="24"/>
          <w:szCs w:val="24"/>
          <w:u w:color="0000FF"/>
        </w:rPr>
        <w:t>SVP-Human Resources</w:t>
      </w:r>
      <w:r w:rsidR="00C050A5">
        <w:rPr>
          <w:rFonts w:ascii="Calibri" w:hAnsi="Calibri" w:cs="Calibri"/>
          <w:sz w:val="24"/>
          <w:szCs w:val="24"/>
          <w:u w:color="0000FF"/>
        </w:rPr>
        <w:t xml:space="preserve"> contemplated by this paragraph </w:t>
      </w:r>
      <w:r w:rsidRPr="00370669">
        <w:rPr>
          <w:rFonts w:ascii="Calibri" w:hAnsi="Calibri" w:cs="Calibri"/>
          <w:sz w:val="24"/>
          <w:szCs w:val="24"/>
          <w:u w:color="0000FF"/>
        </w:rPr>
        <w:t>are</w:t>
      </w:r>
      <w:r w:rsidRPr="00370669">
        <w:rPr>
          <w:rFonts w:ascii="Calibri" w:hAnsi="Calibri" w:cs="Calibri"/>
          <w:sz w:val="24"/>
          <w:szCs w:val="24"/>
        </w:rPr>
        <w:t xml:space="preserve"> overseen by the </w:t>
      </w:r>
      <w:r w:rsidR="00D83695">
        <w:rPr>
          <w:rFonts w:ascii="Calibri" w:hAnsi="Calibri" w:cs="Calibri"/>
          <w:sz w:val="24"/>
          <w:szCs w:val="24"/>
        </w:rPr>
        <w:t xml:space="preserve">Audit </w:t>
      </w:r>
      <w:r w:rsidRPr="00370669">
        <w:rPr>
          <w:rFonts w:ascii="Calibri" w:hAnsi="Calibri" w:cs="Calibri"/>
          <w:sz w:val="24"/>
          <w:szCs w:val="24"/>
        </w:rPr>
        <w:t>Committe</w:t>
      </w:r>
      <w:r w:rsidR="005F08BD">
        <w:rPr>
          <w:rFonts w:ascii="Calibri" w:hAnsi="Calibri" w:cs="Calibri"/>
          <w:sz w:val="24"/>
          <w:szCs w:val="24"/>
        </w:rPr>
        <w:t xml:space="preserve">e. Additionally, the Committee is responsible for </w:t>
      </w:r>
      <w:r w:rsidR="005F08BD" w:rsidRPr="00C16AA6">
        <w:rPr>
          <w:rFonts w:ascii="Calibri" w:hAnsi="Calibri" w:cs="Calibri"/>
          <w:sz w:val="24"/>
          <w:szCs w:val="24"/>
        </w:rPr>
        <w:t>appointing or removing executive(s) designated to administer the Company’s welfare benefit plans</w:t>
      </w:r>
      <w:r w:rsidR="005F08BD">
        <w:rPr>
          <w:rFonts w:ascii="Calibri" w:hAnsi="Calibri" w:cs="Calibri"/>
          <w:sz w:val="24"/>
          <w:szCs w:val="24"/>
        </w:rPr>
        <w:t>.</w:t>
      </w:r>
      <w:r w:rsidR="005F08BD" w:rsidRPr="00370669">
        <w:rPr>
          <w:rFonts w:ascii="Calibri" w:hAnsi="Calibri" w:cs="Calibri"/>
          <w:sz w:val="24"/>
          <w:szCs w:val="24"/>
        </w:rPr>
        <w:t>)</w:t>
      </w:r>
      <w:r w:rsidRPr="00370669">
        <w:rPr>
          <w:rFonts w:ascii="Calibri" w:hAnsi="Calibri" w:cs="Calibri"/>
          <w:sz w:val="24"/>
          <w:szCs w:val="24"/>
        </w:rPr>
        <w:t xml:space="preserve">. </w:t>
      </w:r>
    </w:p>
    <w:p w14:paraId="5A6DD21F" w14:textId="77777777" w:rsidR="00165737" w:rsidRPr="00370669" w:rsidRDefault="00165737" w:rsidP="00C932BB">
      <w:pPr>
        <w:jc w:val="both"/>
        <w:rPr>
          <w:rFonts w:ascii="Calibri" w:hAnsi="Calibri" w:cs="Calibri"/>
          <w:sz w:val="24"/>
          <w:szCs w:val="24"/>
        </w:rPr>
      </w:pPr>
    </w:p>
    <w:p w14:paraId="4222C92D" w14:textId="77777777" w:rsidR="00165737" w:rsidRPr="00370669" w:rsidRDefault="00165737" w:rsidP="00C932BB">
      <w:pPr>
        <w:jc w:val="both"/>
        <w:rPr>
          <w:rFonts w:ascii="Calibri" w:hAnsi="Calibri" w:cs="Calibri"/>
          <w:sz w:val="24"/>
          <w:szCs w:val="24"/>
          <w:u w:val="single"/>
        </w:rPr>
      </w:pPr>
      <w:r w:rsidRPr="00370669">
        <w:rPr>
          <w:rFonts w:ascii="Calibri" w:hAnsi="Calibri" w:cs="Calibri"/>
          <w:sz w:val="24"/>
          <w:szCs w:val="24"/>
        </w:rPr>
        <w:tab/>
        <w:t>In furtherance of its purpose, the Committee, as necessary or appropriate, shall:</w:t>
      </w:r>
    </w:p>
    <w:p w14:paraId="4B8C9BFD" w14:textId="77777777" w:rsidR="00165737" w:rsidRPr="00370669" w:rsidRDefault="00165737" w:rsidP="008A09A5">
      <w:pPr>
        <w:jc w:val="both"/>
        <w:rPr>
          <w:rFonts w:ascii="Calibri" w:hAnsi="Calibri" w:cs="Calibri"/>
          <w:sz w:val="24"/>
          <w:szCs w:val="24"/>
        </w:rPr>
      </w:pPr>
    </w:p>
    <w:p w14:paraId="6C490E2D" w14:textId="77777777" w:rsidR="00165737" w:rsidRPr="00370669" w:rsidRDefault="00165737" w:rsidP="00402954">
      <w:pPr>
        <w:rPr>
          <w:rFonts w:ascii="Calibri" w:hAnsi="Calibri" w:cs="Calibri"/>
          <w:sz w:val="24"/>
          <w:szCs w:val="24"/>
        </w:rPr>
      </w:pPr>
      <w:r w:rsidRPr="00370669">
        <w:rPr>
          <w:rFonts w:ascii="Calibri" w:hAnsi="Calibri" w:cs="Calibri"/>
          <w:sz w:val="24"/>
          <w:szCs w:val="24"/>
          <w:u w:val="single"/>
        </w:rPr>
        <w:t>Executive and Employee Compensation</w:t>
      </w:r>
    </w:p>
    <w:p w14:paraId="49B1C94F" w14:textId="77777777" w:rsidR="00165737" w:rsidRPr="00370669" w:rsidRDefault="00165737" w:rsidP="00402954">
      <w:pPr>
        <w:rPr>
          <w:rFonts w:ascii="Calibri" w:hAnsi="Calibri" w:cs="Calibri"/>
          <w:sz w:val="24"/>
          <w:szCs w:val="24"/>
        </w:rPr>
      </w:pPr>
    </w:p>
    <w:p w14:paraId="4484CA5E" w14:textId="77777777" w:rsidR="00165737" w:rsidRPr="00370669" w:rsidRDefault="00165737" w:rsidP="00402954">
      <w:pPr>
        <w:tabs>
          <w:tab w:val="left" w:pos="720"/>
        </w:tabs>
        <w:ind w:left="720" w:hanging="720"/>
        <w:jc w:val="both"/>
        <w:outlineLvl w:val="0"/>
        <w:rPr>
          <w:rFonts w:ascii="Calibri" w:hAnsi="Calibri" w:cs="Calibri"/>
          <w:sz w:val="24"/>
          <w:szCs w:val="24"/>
        </w:rPr>
      </w:pPr>
      <w:r w:rsidRPr="00370669">
        <w:rPr>
          <w:rFonts w:ascii="Calibri" w:hAnsi="Calibri" w:cs="Calibri"/>
          <w:sz w:val="24"/>
          <w:szCs w:val="24"/>
        </w:rPr>
        <w:t>1.</w:t>
      </w:r>
      <w:r w:rsidRPr="00370669">
        <w:rPr>
          <w:rFonts w:ascii="Calibri" w:hAnsi="Calibri" w:cs="Calibri"/>
          <w:sz w:val="24"/>
          <w:szCs w:val="24"/>
        </w:rPr>
        <w:tab/>
        <w:t xml:space="preserve">Except as provided below with respect to the Chief Executive Officer (the “CEO”), review and approve compensation arrangements for executive officers and review and approve all agreements (including employment, severance and change in control agreements) with executive officers related to executive compensation, retention or other aspects of their employment relationship with the Company.  </w:t>
      </w:r>
    </w:p>
    <w:p w14:paraId="35545CDA" w14:textId="77777777" w:rsidR="00402954" w:rsidRPr="00370669" w:rsidRDefault="00402954" w:rsidP="00402954">
      <w:pPr>
        <w:tabs>
          <w:tab w:val="left" w:pos="720"/>
        </w:tabs>
        <w:ind w:left="720" w:hanging="720"/>
        <w:jc w:val="both"/>
        <w:outlineLvl w:val="0"/>
        <w:rPr>
          <w:rFonts w:ascii="Calibri" w:hAnsi="Calibri" w:cs="Calibri"/>
          <w:sz w:val="24"/>
          <w:szCs w:val="24"/>
        </w:rPr>
      </w:pPr>
    </w:p>
    <w:p w14:paraId="007AF5D5" w14:textId="77777777" w:rsidR="00165737" w:rsidRPr="00370669" w:rsidRDefault="00165737" w:rsidP="00402954">
      <w:pPr>
        <w:tabs>
          <w:tab w:val="left" w:pos="720"/>
        </w:tabs>
        <w:ind w:left="720" w:hanging="720"/>
        <w:jc w:val="both"/>
        <w:outlineLvl w:val="0"/>
        <w:rPr>
          <w:rFonts w:ascii="Calibri" w:hAnsi="Calibri" w:cs="Calibri"/>
          <w:sz w:val="24"/>
          <w:szCs w:val="24"/>
        </w:rPr>
      </w:pPr>
      <w:r w:rsidRPr="00370669">
        <w:rPr>
          <w:rFonts w:ascii="Calibri" w:hAnsi="Calibri" w:cs="Calibri"/>
          <w:sz w:val="24"/>
          <w:szCs w:val="24"/>
        </w:rPr>
        <w:t>2.</w:t>
      </w:r>
      <w:r w:rsidRPr="00370669">
        <w:rPr>
          <w:rFonts w:ascii="Calibri" w:hAnsi="Calibri" w:cs="Calibri"/>
          <w:sz w:val="24"/>
          <w:szCs w:val="24"/>
        </w:rPr>
        <w:tab/>
        <w:t xml:space="preserve">Except as provided below with respect to the CEO, review and approve the compensation and benefits of all executive officers of the Company, considering, among other factors as the Committee deems appropriate in its discretion, individual, business unit and company strategic progress and performance relative to prior years’ results, economic and business conditions, annual and long-term goals, comparative and competitive pay and performance levels and the most recent </w:t>
      </w:r>
      <w:r w:rsidR="00985EE9" w:rsidRPr="00370669">
        <w:rPr>
          <w:rFonts w:ascii="Calibri" w:hAnsi="Calibri" w:cs="Calibri"/>
          <w:sz w:val="24"/>
          <w:szCs w:val="24"/>
        </w:rPr>
        <w:t xml:space="preserve">stockholder </w:t>
      </w:r>
      <w:r w:rsidRPr="00370669">
        <w:rPr>
          <w:rFonts w:ascii="Calibri" w:hAnsi="Calibri" w:cs="Calibri"/>
          <w:sz w:val="24"/>
          <w:szCs w:val="24"/>
        </w:rPr>
        <w:t>advisory vote on executive compensation.  The Committee may consult with the independent members of the Board of Directors with respect to compensation levels for executives who are the subject of annual proxy statement disclosure.</w:t>
      </w:r>
    </w:p>
    <w:p w14:paraId="0835AFAB" w14:textId="77777777" w:rsidR="00402954" w:rsidRPr="00370669" w:rsidRDefault="00402954" w:rsidP="00402954">
      <w:pPr>
        <w:tabs>
          <w:tab w:val="left" w:pos="720"/>
        </w:tabs>
        <w:ind w:left="720" w:hanging="720"/>
        <w:jc w:val="both"/>
        <w:outlineLvl w:val="0"/>
        <w:rPr>
          <w:rFonts w:ascii="Calibri" w:hAnsi="Calibri" w:cs="Calibri"/>
          <w:sz w:val="24"/>
          <w:szCs w:val="24"/>
        </w:rPr>
      </w:pPr>
    </w:p>
    <w:p w14:paraId="7811AFDF" w14:textId="6B103D14" w:rsidR="007C0EB7" w:rsidRDefault="00165737" w:rsidP="00444A81">
      <w:pPr>
        <w:ind w:left="720" w:hanging="720"/>
        <w:jc w:val="both"/>
        <w:rPr>
          <w:rFonts w:ascii="Calibri" w:hAnsi="Calibri" w:cs="Calibri"/>
          <w:sz w:val="24"/>
          <w:szCs w:val="24"/>
        </w:rPr>
      </w:pPr>
      <w:r w:rsidRPr="00370669">
        <w:rPr>
          <w:rFonts w:ascii="Calibri" w:hAnsi="Calibri" w:cs="Calibri"/>
          <w:sz w:val="24"/>
          <w:szCs w:val="24"/>
        </w:rPr>
        <w:t>3.</w:t>
      </w:r>
      <w:r w:rsidRPr="00370669">
        <w:rPr>
          <w:rFonts w:ascii="Calibri" w:hAnsi="Calibri" w:cs="Calibri"/>
          <w:sz w:val="24"/>
          <w:szCs w:val="24"/>
        </w:rPr>
        <w:tab/>
      </w:r>
      <w:r w:rsidR="008A09A5" w:rsidRPr="00370669">
        <w:rPr>
          <w:rFonts w:ascii="Calibri" w:hAnsi="Calibri" w:cs="Calibri"/>
          <w:sz w:val="24"/>
          <w:szCs w:val="24"/>
        </w:rPr>
        <w:t xml:space="preserve">Establish, amend and terminate compensation, perquisite, </w:t>
      </w:r>
      <w:r w:rsidR="001A15AA">
        <w:rPr>
          <w:rFonts w:ascii="Calibri" w:hAnsi="Calibri" w:cs="Calibri"/>
          <w:sz w:val="24"/>
          <w:szCs w:val="24"/>
        </w:rPr>
        <w:t>pension benefit</w:t>
      </w:r>
      <w:r w:rsidR="008A09A5" w:rsidRPr="00370669">
        <w:rPr>
          <w:rFonts w:ascii="Calibri" w:hAnsi="Calibri" w:cs="Calibri"/>
          <w:sz w:val="24"/>
          <w:szCs w:val="24"/>
        </w:rPr>
        <w:t xml:space="preserve"> and welfare benefit programs for the Company and its subsidiary companies, and make recommendations to the Board of Directors with respect to incentive compensation plans </w:t>
      </w:r>
      <w:r w:rsidR="008A09A5" w:rsidRPr="00370669">
        <w:rPr>
          <w:rFonts w:ascii="Calibri" w:hAnsi="Calibri" w:cs="Calibri"/>
          <w:sz w:val="24"/>
          <w:szCs w:val="24"/>
        </w:rPr>
        <w:lastRenderedPageBreak/>
        <w:t xml:space="preserve">and equity-based plans requiring </w:t>
      </w:r>
      <w:proofErr w:type="gramStart"/>
      <w:r w:rsidR="008A09A5" w:rsidRPr="00370669">
        <w:rPr>
          <w:rFonts w:ascii="Calibri" w:hAnsi="Calibri" w:cs="Calibri"/>
          <w:sz w:val="24"/>
          <w:szCs w:val="24"/>
        </w:rPr>
        <w:t>its</w:t>
      </w:r>
      <w:proofErr w:type="gramEnd"/>
      <w:r w:rsidR="008A09A5" w:rsidRPr="00370669">
        <w:rPr>
          <w:rFonts w:ascii="Calibri" w:hAnsi="Calibri" w:cs="Calibri"/>
          <w:sz w:val="24"/>
          <w:szCs w:val="24"/>
        </w:rPr>
        <w:t xml:space="preserve"> approval.  The Committee can delegate its authority to establish, amend and terminate ERISA covered employee benefit plans. </w:t>
      </w:r>
    </w:p>
    <w:p w14:paraId="0B9A5329" w14:textId="77777777" w:rsidR="007C0EB7" w:rsidRDefault="007C0EB7" w:rsidP="00444A81">
      <w:pPr>
        <w:ind w:left="720" w:hanging="720"/>
        <w:jc w:val="both"/>
        <w:rPr>
          <w:rFonts w:ascii="Calibri" w:hAnsi="Calibri" w:cs="Calibri"/>
          <w:sz w:val="24"/>
          <w:szCs w:val="24"/>
        </w:rPr>
      </w:pPr>
    </w:p>
    <w:p w14:paraId="0EA0EAF2" w14:textId="16AC3157" w:rsidR="00165737" w:rsidRPr="00370669" w:rsidRDefault="008A09A5" w:rsidP="005F08BD">
      <w:pPr>
        <w:ind w:left="720"/>
        <w:jc w:val="both"/>
        <w:rPr>
          <w:rFonts w:ascii="Calibri" w:hAnsi="Calibri" w:cs="Calibri"/>
          <w:sz w:val="24"/>
          <w:szCs w:val="24"/>
        </w:rPr>
      </w:pPr>
      <w:r w:rsidRPr="00370669">
        <w:rPr>
          <w:rFonts w:ascii="Calibri" w:hAnsi="Calibri" w:cs="Calibri"/>
          <w:sz w:val="24"/>
          <w:szCs w:val="24"/>
        </w:rPr>
        <w:t xml:space="preserve">(Fiduciary duties related to the administration of the ERISA covered pension benefit plans and the management and investment of such plans’ assets has been delegated to the Company’s PASPC. </w:t>
      </w:r>
      <w:r w:rsidRPr="00370669">
        <w:rPr>
          <w:rFonts w:ascii="Calibri" w:hAnsi="Calibri" w:cs="Calibri"/>
          <w:sz w:val="24"/>
          <w:szCs w:val="24"/>
          <w:u w:color="0000FF"/>
        </w:rPr>
        <w:t xml:space="preserve">Administration of the Company’s ERISA covered welfare benefits plans has been delegated to the Company’s SVP-Human Resources. The activities of the PASPC and the </w:t>
      </w:r>
      <w:r w:rsidR="007C0EB7">
        <w:rPr>
          <w:rFonts w:ascii="Calibri" w:hAnsi="Calibri" w:cs="Calibri"/>
          <w:sz w:val="24"/>
          <w:szCs w:val="24"/>
          <w:u w:color="0000FF"/>
        </w:rPr>
        <w:t xml:space="preserve">activities of the </w:t>
      </w:r>
      <w:r w:rsidRPr="00370669">
        <w:rPr>
          <w:rFonts w:ascii="Calibri" w:hAnsi="Calibri" w:cs="Calibri"/>
          <w:sz w:val="24"/>
          <w:szCs w:val="24"/>
          <w:u w:color="0000FF"/>
        </w:rPr>
        <w:t xml:space="preserve">SVP-Human Resources </w:t>
      </w:r>
      <w:r w:rsidR="007C0EB7">
        <w:rPr>
          <w:rFonts w:ascii="Calibri" w:hAnsi="Calibri" w:cs="Calibri"/>
          <w:sz w:val="24"/>
          <w:szCs w:val="24"/>
          <w:u w:color="0000FF"/>
        </w:rPr>
        <w:t xml:space="preserve">contemplated by this paragraph </w:t>
      </w:r>
      <w:r w:rsidRPr="00370669">
        <w:rPr>
          <w:rFonts w:ascii="Calibri" w:hAnsi="Calibri" w:cs="Calibri"/>
          <w:sz w:val="24"/>
          <w:szCs w:val="24"/>
          <w:u w:color="0000FF"/>
        </w:rPr>
        <w:t>are</w:t>
      </w:r>
      <w:r w:rsidRPr="00370669">
        <w:rPr>
          <w:rFonts w:ascii="Calibri" w:hAnsi="Calibri" w:cs="Calibri"/>
          <w:sz w:val="24"/>
          <w:szCs w:val="24"/>
        </w:rPr>
        <w:t xml:space="preserve"> overseen by the </w:t>
      </w:r>
      <w:r w:rsidR="00D83695">
        <w:rPr>
          <w:rFonts w:ascii="Calibri" w:hAnsi="Calibri" w:cs="Calibri"/>
          <w:sz w:val="24"/>
          <w:szCs w:val="24"/>
        </w:rPr>
        <w:t xml:space="preserve">Audit </w:t>
      </w:r>
      <w:r w:rsidRPr="00370669">
        <w:rPr>
          <w:rFonts w:ascii="Calibri" w:hAnsi="Calibri" w:cs="Calibri"/>
          <w:sz w:val="24"/>
          <w:szCs w:val="24"/>
        </w:rPr>
        <w:t>Committee</w:t>
      </w:r>
      <w:r w:rsidR="005F08BD">
        <w:rPr>
          <w:rFonts w:ascii="Calibri" w:hAnsi="Calibri" w:cs="Calibri"/>
          <w:sz w:val="24"/>
          <w:szCs w:val="24"/>
        </w:rPr>
        <w:t>. Additionally, t</w:t>
      </w:r>
      <w:r w:rsidR="001E72D2">
        <w:rPr>
          <w:rFonts w:ascii="Calibri" w:hAnsi="Calibri" w:cs="Calibri"/>
          <w:sz w:val="24"/>
          <w:szCs w:val="24"/>
        </w:rPr>
        <w:t>he Committee</w:t>
      </w:r>
      <w:r w:rsidR="003504F4">
        <w:rPr>
          <w:rFonts w:ascii="Calibri" w:hAnsi="Calibri" w:cs="Calibri"/>
          <w:sz w:val="24"/>
          <w:szCs w:val="24"/>
        </w:rPr>
        <w:t xml:space="preserve"> is responsible for</w:t>
      </w:r>
      <w:r w:rsidR="009322A3">
        <w:rPr>
          <w:rFonts w:ascii="Calibri" w:hAnsi="Calibri" w:cs="Calibri"/>
          <w:sz w:val="24"/>
          <w:szCs w:val="24"/>
        </w:rPr>
        <w:t xml:space="preserve"> </w:t>
      </w:r>
      <w:r w:rsidR="003504F4" w:rsidRPr="00C16AA6">
        <w:rPr>
          <w:rFonts w:ascii="Calibri" w:hAnsi="Calibri" w:cs="Calibri"/>
          <w:sz w:val="24"/>
          <w:szCs w:val="24"/>
        </w:rPr>
        <w:t>appointing or removing executive(s) designated to administer the Company’s welfare benefit plans</w:t>
      </w:r>
      <w:r w:rsidR="005F08BD">
        <w:rPr>
          <w:rFonts w:ascii="Calibri" w:hAnsi="Calibri" w:cs="Calibri"/>
          <w:sz w:val="24"/>
          <w:szCs w:val="24"/>
        </w:rPr>
        <w:t>.</w:t>
      </w:r>
      <w:r w:rsidRPr="00370669">
        <w:rPr>
          <w:rFonts w:ascii="Calibri" w:hAnsi="Calibri" w:cs="Calibri"/>
          <w:sz w:val="24"/>
          <w:szCs w:val="24"/>
        </w:rPr>
        <w:t>).</w:t>
      </w:r>
    </w:p>
    <w:p w14:paraId="4E621141" w14:textId="77777777" w:rsidR="00165737" w:rsidRPr="00370669" w:rsidRDefault="00165737" w:rsidP="00402954">
      <w:pPr>
        <w:ind w:left="720" w:hanging="720"/>
        <w:jc w:val="both"/>
        <w:rPr>
          <w:rFonts w:ascii="Calibri" w:hAnsi="Calibri" w:cs="Calibri"/>
          <w:sz w:val="24"/>
          <w:szCs w:val="24"/>
        </w:rPr>
      </w:pPr>
    </w:p>
    <w:p w14:paraId="5B20E05B" w14:textId="2A5CE91D" w:rsidR="00791527" w:rsidRDefault="00165737" w:rsidP="00791527">
      <w:pPr>
        <w:tabs>
          <w:tab w:val="left" w:pos="720"/>
        </w:tabs>
        <w:ind w:left="720" w:hanging="720"/>
        <w:jc w:val="both"/>
        <w:outlineLvl w:val="0"/>
        <w:rPr>
          <w:rFonts w:ascii="Calibri" w:hAnsi="Calibri" w:cs="Calibri"/>
          <w:sz w:val="24"/>
          <w:szCs w:val="24"/>
        </w:rPr>
      </w:pPr>
      <w:r w:rsidRPr="00370669">
        <w:rPr>
          <w:rFonts w:ascii="Calibri" w:hAnsi="Calibri" w:cs="Calibri"/>
          <w:sz w:val="24"/>
          <w:szCs w:val="24"/>
        </w:rPr>
        <w:t>4.</w:t>
      </w:r>
      <w:r w:rsidRPr="00370669">
        <w:rPr>
          <w:rFonts w:ascii="Calibri" w:hAnsi="Calibri" w:cs="Calibri"/>
          <w:sz w:val="24"/>
          <w:szCs w:val="24"/>
        </w:rPr>
        <w:tab/>
      </w:r>
      <w:r w:rsidR="00791527">
        <w:rPr>
          <w:rFonts w:ascii="Calibri" w:hAnsi="Calibri" w:cs="Calibri"/>
          <w:sz w:val="24"/>
          <w:szCs w:val="24"/>
        </w:rPr>
        <w:t>Review Internal Audit’s annual audit of the Company’s various Incentive plans</w:t>
      </w:r>
      <w:r w:rsidR="00563CDC">
        <w:rPr>
          <w:rFonts w:ascii="Calibri" w:hAnsi="Calibri" w:cs="Calibri"/>
          <w:sz w:val="24"/>
          <w:szCs w:val="24"/>
        </w:rPr>
        <w:t xml:space="preserve"> under the purview of the Committee</w:t>
      </w:r>
      <w:r w:rsidR="00791527">
        <w:rPr>
          <w:rFonts w:ascii="Calibri" w:hAnsi="Calibri" w:cs="Calibri"/>
          <w:sz w:val="24"/>
          <w:szCs w:val="24"/>
        </w:rPr>
        <w:t>.</w:t>
      </w:r>
    </w:p>
    <w:p w14:paraId="18177157" w14:textId="77777777" w:rsidR="00791527" w:rsidRDefault="00791527" w:rsidP="00791527">
      <w:pPr>
        <w:tabs>
          <w:tab w:val="left" w:pos="720"/>
        </w:tabs>
        <w:ind w:left="720" w:hanging="720"/>
        <w:jc w:val="both"/>
        <w:outlineLvl w:val="0"/>
        <w:rPr>
          <w:rFonts w:ascii="Calibri" w:hAnsi="Calibri" w:cs="Calibri"/>
          <w:sz w:val="24"/>
          <w:szCs w:val="24"/>
        </w:rPr>
      </w:pPr>
    </w:p>
    <w:p w14:paraId="233CC9D0" w14:textId="10D36006" w:rsidR="00165737" w:rsidRPr="00370669" w:rsidRDefault="00791527" w:rsidP="00791527">
      <w:pPr>
        <w:tabs>
          <w:tab w:val="left" w:pos="720"/>
        </w:tabs>
        <w:ind w:left="720" w:hanging="720"/>
        <w:jc w:val="both"/>
        <w:outlineLvl w:val="0"/>
        <w:rPr>
          <w:rFonts w:ascii="Calibri" w:hAnsi="Calibri" w:cs="Calibri"/>
          <w:sz w:val="24"/>
          <w:szCs w:val="24"/>
        </w:rPr>
      </w:pPr>
      <w:r>
        <w:rPr>
          <w:rFonts w:ascii="Calibri" w:hAnsi="Calibri" w:cs="Calibri"/>
          <w:sz w:val="24"/>
          <w:szCs w:val="24"/>
        </w:rPr>
        <w:t>5.</w:t>
      </w:r>
      <w:r>
        <w:rPr>
          <w:rFonts w:ascii="Calibri" w:hAnsi="Calibri" w:cs="Calibri"/>
          <w:sz w:val="24"/>
          <w:szCs w:val="24"/>
        </w:rPr>
        <w:tab/>
      </w:r>
      <w:r w:rsidR="00B22660" w:rsidRPr="00370669">
        <w:rPr>
          <w:rFonts w:ascii="Calibri" w:hAnsi="Calibri" w:cs="Calibri"/>
          <w:sz w:val="24"/>
          <w:szCs w:val="24"/>
        </w:rPr>
        <w:t>Approve or</w:t>
      </w:r>
      <w:r w:rsidR="00165737" w:rsidRPr="00370669">
        <w:rPr>
          <w:rFonts w:ascii="Calibri" w:hAnsi="Calibri" w:cs="Calibri"/>
          <w:sz w:val="24"/>
          <w:szCs w:val="24"/>
        </w:rPr>
        <w:t xml:space="preserve"> recommend to the Board of Directors as the circumstances require, such matters as are specifically provided for by Company plans, such as the annual goals and objectives and the total amount of monies available.</w:t>
      </w:r>
    </w:p>
    <w:p w14:paraId="6E16EE9A" w14:textId="77777777" w:rsidR="00402954" w:rsidRPr="00370669" w:rsidRDefault="00402954" w:rsidP="00402954">
      <w:pPr>
        <w:tabs>
          <w:tab w:val="left" w:pos="720"/>
        </w:tabs>
        <w:ind w:left="720" w:hanging="720"/>
        <w:jc w:val="both"/>
        <w:outlineLvl w:val="0"/>
        <w:rPr>
          <w:rFonts w:ascii="Calibri" w:hAnsi="Calibri" w:cs="Calibri"/>
          <w:sz w:val="24"/>
          <w:szCs w:val="24"/>
        </w:rPr>
      </w:pPr>
    </w:p>
    <w:p w14:paraId="00CC7313" w14:textId="5D5DA1D2" w:rsidR="00165737" w:rsidRPr="00370669" w:rsidRDefault="00791527" w:rsidP="00402954">
      <w:pPr>
        <w:ind w:left="720" w:hanging="720"/>
        <w:jc w:val="both"/>
        <w:outlineLvl w:val="0"/>
        <w:rPr>
          <w:rFonts w:ascii="Calibri" w:hAnsi="Calibri" w:cs="Calibri"/>
          <w:sz w:val="24"/>
          <w:szCs w:val="24"/>
        </w:rPr>
      </w:pPr>
      <w:r>
        <w:rPr>
          <w:rFonts w:ascii="Calibri" w:hAnsi="Calibri" w:cs="Calibri"/>
          <w:sz w:val="24"/>
          <w:szCs w:val="24"/>
        </w:rPr>
        <w:t>6</w:t>
      </w:r>
      <w:r w:rsidR="00165737" w:rsidRPr="00370669">
        <w:rPr>
          <w:rFonts w:ascii="Calibri" w:hAnsi="Calibri" w:cs="Calibri"/>
          <w:sz w:val="24"/>
          <w:szCs w:val="24"/>
        </w:rPr>
        <w:t>.</w:t>
      </w:r>
      <w:r w:rsidR="00165737" w:rsidRPr="00370669">
        <w:rPr>
          <w:rFonts w:ascii="Calibri" w:hAnsi="Calibri" w:cs="Calibri"/>
          <w:sz w:val="24"/>
          <w:szCs w:val="24"/>
        </w:rPr>
        <w:tab/>
      </w:r>
      <w:r w:rsidR="00B22660" w:rsidRPr="00370669">
        <w:rPr>
          <w:rFonts w:ascii="Calibri" w:hAnsi="Calibri" w:cs="Calibri"/>
          <w:sz w:val="24"/>
          <w:szCs w:val="24"/>
        </w:rPr>
        <w:t>Approve or</w:t>
      </w:r>
      <w:r w:rsidR="00165737" w:rsidRPr="00370669">
        <w:rPr>
          <w:rFonts w:ascii="Calibri" w:hAnsi="Calibri" w:cs="Calibri"/>
          <w:sz w:val="24"/>
          <w:szCs w:val="24"/>
        </w:rPr>
        <w:t xml:space="preserve"> recommend to the Board of Directors as the circumstances require, and </w:t>
      </w:r>
      <w:proofErr w:type="gramStart"/>
      <w:r w:rsidR="00165737" w:rsidRPr="00370669">
        <w:rPr>
          <w:rFonts w:ascii="Calibri" w:hAnsi="Calibri" w:cs="Calibri"/>
          <w:sz w:val="24"/>
          <w:szCs w:val="24"/>
        </w:rPr>
        <w:t>take,</w:t>
      </w:r>
      <w:proofErr w:type="gramEnd"/>
      <w:r w:rsidR="00165737" w:rsidRPr="00370669">
        <w:rPr>
          <w:rFonts w:ascii="Calibri" w:hAnsi="Calibri" w:cs="Calibri"/>
          <w:sz w:val="24"/>
          <w:szCs w:val="24"/>
        </w:rPr>
        <w:t xml:space="preserve"> such actions as may be required by applicable law, to recover or adjust incentive awards and payments to executive officers if the performance measures upon which such incentive awards or payments were based are restated or otherwise adjusted in a manner that would reduce the size of an award or payment.</w:t>
      </w:r>
    </w:p>
    <w:p w14:paraId="3E674D62" w14:textId="77777777" w:rsidR="00402954" w:rsidRPr="00370669" w:rsidRDefault="00402954" w:rsidP="00402954">
      <w:pPr>
        <w:ind w:left="720" w:hanging="720"/>
        <w:jc w:val="both"/>
        <w:outlineLvl w:val="0"/>
        <w:rPr>
          <w:rFonts w:ascii="Calibri" w:hAnsi="Calibri" w:cs="Calibri"/>
          <w:sz w:val="24"/>
          <w:szCs w:val="24"/>
        </w:rPr>
      </w:pPr>
    </w:p>
    <w:p w14:paraId="1C108C43" w14:textId="6C15D08D" w:rsidR="00165737" w:rsidRPr="00370669" w:rsidRDefault="00791527" w:rsidP="00402954">
      <w:pPr>
        <w:ind w:left="720" w:hanging="720"/>
        <w:jc w:val="both"/>
        <w:outlineLvl w:val="0"/>
        <w:rPr>
          <w:rFonts w:ascii="Calibri" w:hAnsi="Calibri" w:cs="Calibri"/>
          <w:sz w:val="24"/>
          <w:szCs w:val="24"/>
        </w:rPr>
      </w:pPr>
      <w:r>
        <w:rPr>
          <w:rFonts w:ascii="Calibri" w:hAnsi="Calibri" w:cs="Calibri"/>
          <w:sz w:val="24"/>
          <w:szCs w:val="24"/>
        </w:rPr>
        <w:t>7</w:t>
      </w:r>
      <w:r w:rsidR="00165737" w:rsidRPr="00370669">
        <w:rPr>
          <w:rFonts w:ascii="Calibri" w:hAnsi="Calibri" w:cs="Calibri"/>
          <w:sz w:val="24"/>
          <w:szCs w:val="24"/>
        </w:rPr>
        <w:t>.</w:t>
      </w:r>
      <w:r w:rsidR="00165737" w:rsidRPr="00370669">
        <w:rPr>
          <w:rFonts w:ascii="Calibri" w:hAnsi="Calibri" w:cs="Calibri"/>
          <w:sz w:val="24"/>
          <w:szCs w:val="24"/>
        </w:rPr>
        <w:tab/>
        <w:t>Review and recommend to the Board of Directors the election and advancement of officers and establish their applicable salary grade.</w:t>
      </w:r>
    </w:p>
    <w:p w14:paraId="41E1953F" w14:textId="77777777" w:rsidR="00402954" w:rsidRPr="00370669" w:rsidRDefault="00402954" w:rsidP="00402954">
      <w:pPr>
        <w:ind w:left="720" w:hanging="720"/>
        <w:jc w:val="both"/>
        <w:outlineLvl w:val="0"/>
        <w:rPr>
          <w:rFonts w:ascii="Calibri" w:hAnsi="Calibri" w:cs="Calibri"/>
          <w:sz w:val="24"/>
          <w:szCs w:val="24"/>
        </w:rPr>
      </w:pPr>
    </w:p>
    <w:p w14:paraId="0627607E" w14:textId="77777777" w:rsidR="00165737" w:rsidRPr="00370669" w:rsidRDefault="00165737" w:rsidP="00402954">
      <w:pPr>
        <w:rPr>
          <w:rFonts w:ascii="Calibri" w:hAnsi="Calibri" w:cs="Calibri"/>
          <w:sz w:val="24"/>
          <w:szCs w:val="24"/>
        </w:rPr>
      </w:pPr>
      <w:r w:rsidRPr="00370669">
        <w:rPr>
          <w:rFonts w:ascii="Calibri" w:hAnsi="Calibri" w:cs="Calibri"/>
          <w:sz w:val="24"/>
          <w:szCs w:val="24"/>
          <w:u w:val="single"/>
        </w:rPr>
        <w:t>CEO Compensation</w:t>
      </w:r>
    </w:p>
    <w:p w14:paraId="2FAD63A4" w14:textId="77777777" w:rsidR="00165737" w:rsidRPr="00370669" w:rsidRDefault="00165737" w:rsidP="00402954">
      <w:pPr>
        <w:rPr>
          <w:rFonts w:ascii="Calibri" w:hAnsi="Calibri" w:cs="Calibri"/>
          <w:sz w:val="24"/>
          <w:szCs w:val="24"/>
        </w:rPr>
      </w:pPr>
    </w:p>
    <w:p w14:paraId="29D46851" w14:textId="77777777" w:rsidR="00165737" w:rsidRPr="00370669" w:rsidRDefault="00165737" w:rsidP="00402954">
      <w:pPr>
        <w:numPr>
          <w:ilvl w:val="0"/>
          <w:numId w:val="18"/>
        </w:numPr>
        <w:ind w:left="0" w:firstLine="0"/>
        <w:jc w:val="both"/>
        <w:rPr>
          <w:rFonts w:ascii="Calibri" w:hAnsi="Calibri" w:cs="Calibri"/>
          <w:sz w:val="24"/>
          <w:szCs w:val="24"/>
        </w:rPr>
      </w:pPr>
      <w:r w:rsidRPr="00370669">
        <w:rPr>
          <w:rFonts w:ascii="Calibri" w:hAnsi="Calibri" w:cs="Calibri"/>
          <w:sz w:val="24"/>
          <w:szCs w:val="24"/>
        </w:rPr>
        <w:t>Establish and implement an evaluation process for the CEO.</w:t>
      </w:r>
    </w:p>
    <w:p w14:paraId="54B2A7D1" w14:textId="77777777" w:rsidR="00402954" w:rsidRPr="00370669" w:rsidRDefault="00402954" w:rsidP="00402954">
      <w:pPr>
        <w:jc w:val="both"/>
        <w:rPr>
          <w:rFonts w:ascii="Calibri" w:hAnsi="Calibri" w:cs="Calibri"/>
          <w:sz w:val="24"/>
          <w:szCs w:val="24"/>
        </w:rPr>
      </w:pPr>
    </w:p>
    <w:p w14:paraId="64DCE633" w14:textId="77777777" w:rsidR="00165737" w:rsidRPr="00370669" w:rsidRDefault="00165737" w:rsidP="00402954">
      <w:pPr>
        <w:numPr>
          <w:ilvl w:val="0"/>
          <w:numId w:val="18"/>
        </w:numPr>
        <w:ind w:hanging="720"/>
        <w:jc w:val="both"/>
        <w:rPr>
          <w:rFonts w:ascii="Calibri" w:hAnsi="Calibri" w:cs="Calibri"/>
          <w:sz w:val="24"/>
          <w:szCs w:val="24"/>
        </w:rPr>
      </w:pPr>
      <w:r w:rsidRPr="00370669">
        <w:rPr>
          <w:rFonts w:ascii="Calibri" w:hAnsi="Calibri" w:cs="Calibri"/>
          <w:sz w:val="24"/>
          <w:szCs w:val="24"/>
        </w:rPr>
        <w:t xml:space="preserve">Establish, review and approve annual and long-term corporate and individual performance goals and objectives relevant to CEO compensation, evaluate the performance of the CEO in light of those goals and objectives, and recommend to the independent members of the Board of Directors the compensation level of the CEO based on this evaluation.  In recommending the long-term incentive component of the CEO’s compensation, the Committee shall consider (among other factors at the discretion of the Committee) the performance and relative </w:t>
      </w:r>
      <w:r w:rsidR="00985EE9" w:rsidRPr="00370669">
        <w:rPr>
          <w:rFonts w:ascii="Calibri" w:hAnsi="Calibri" w:cs="Calibri"/>
          <w:sz w:val="24"/>
          <w:szCs w:val="24"/>
        </w:rPr>
        <w:t xml:space="preserve">stockholder </w:t>
      </w:r>
      <w:r w:rsidRPr="00370669">
        <w:rPr>
          <w:rFonts w:ascii="Calibri" w:hAnsi="Calibri" w:cs="Calibri"/>
          <w:sz w:val="24"/>
          <w:szCs w:val="24"/>
        </w:rPr>
        <w:t xml:space="preserve">return for the Company, the value of similar incentive awards to chief executive officers at comparable companies, the awards given to the CEO in past years and the most recent </w:t>
      </w:r>
      <w:r w:rsidR="00985EE9" w:rsidRPr="00370669">
        <w:rPr>
          <w:rFonts w:ascii="Calibri" w:hAnsi="Calibri" w:cs="Calibri"/>
          <w:sz w:val="24"/>
          <w:szCs w:val="24"/>
        </w:rPr>
        <w:t xml:space="preserve">stockholder </w:t>
      </w:r>
      <w:r w:rsidRPr="00370669">
        <w:rPr>
          <w:rFonts w:ascii="Calibri" w:hAnsi="Calibri" w:cs="Calibri"/>
          <w:sz w:val="24"/>
          <w:szCs w:val="24"/>
        </w:rPr>
        <w:t>advisory vote on executive compensation.</w:t>
      </w:r>
    </w:p>
    <w:p w14:paraId="0978143D" w14:textId="77777777" w:rsidR="00402954" w:rsidRPr="00370669" w:rsidRDefault="00402954" w:rsidP="00402954">
      <w:pPr>
        <w:ind w:left="720"/>
        <w:jc w:val="both"/>
        <w:rPr>
          <w:rFonts w:ascii="Calibri" w:hAnsi="Calibri" w:cs="Calibri"/>
          <w:sz w:val="24"/>
          <w:szCs w:val="24"/>
        </w:rPr>
      </w:pPr>
    </w:p>
    <w:p w14:paraId="313B1733" w14:textId="76D8826B" w:rsidR="00402954" w:rsidRPr="005F08BD" w:rsidRDefault="00165737" w:rsidP="00D76F07">
      <w:pPr>
        <w:numPr>
          <w:ilvl w:val="0"/>
          <w:numId w:val="18"/>
        </w:numPr>
        <w:ind w:left="0" w:firstLine="0"/>
        <w:jc w:val="both"/>
        <w:rPr>
          <w:rFonts w:ascii="Calibri" w:hAnsi="Calibri" w:cs="Calibri"/>
          <w:sz w:val="24"/>
          <w:szCs w:val="24"/>
        </w:rPr>
      </w:pPr>
      <w:r w:rsidRPr="005F08BD">
        <w:rPr>
          <w:rFonts w:ascii="Calibri" w:hAnsi="Calibri" w:cs="Calibri"/>
          <w:sz w:val="24"/>
          <w:szCs w:val="24"/>
        </w:rPr>
        <w:t>Report on the foregoing to the independent members of the Board of Directors.</w:t>
      </w:r>
    </w:p>
    <w:p w14:paraId="42F5CEBA" w14:textId="77777777" w:rsidR="00165737" w:rsidRPr="00370669" w:rsidRDefault="00B22660" w:rsidP="00402954">
      <w:pPr>
        <w:jc w:val="both"/>
        <w:rPr>
          <w:rFonts w:ascii="Calibri" w:hAnsi="Calibri" w:cs="Calibri"/>
          <w:sz w:val="24"/>
          <w:szCs w:val="24"/>
          <w:u w:val="single"/>
        </w:rPr>
      </w:pPr>
      <w:r w:rsidRPr="00370669">
        <w:rPr>
          <w:rFonts w:ascii="Calibri" w:hAnsi="Calibri" w:cs="Calibri"/>
          <w:sz w:val="24"/>
          <w:szCs w:val="24"/>
          <w:u w:val="single"/>
        </w:rPr>
        <w:br w:type="page"/>
      </w:r>
      <w:r w:rsidR="00165737" w:rsidRPr="00370669">
        <w:rPr>
          <w:rFonts w:ascii="Calibri" w:hAnsi="Calibri" w:cs="Calibri"/>
          <w:sz w:val="24"/>
          <w:szCs w:val="24"/>
          <w:u w:val="single"/>
        </w:rPr>
        <w:lastRenderedPageBreak/>
        <w:t>Management Development and Continuity</w:t>
      </w:r>
    </w:p>
    <w:p w14:paraId="6B088F2F" w14:textId="77777777" w:rsidR="00165737" w:rsidRPr="00370669" w:rsidRDefault="00165737" w:rsidP="00402954">
      <w:pPr>
        <w:jc w:val="both"/>
        <w:rPr>
          <w:rFonts w:ascii="Calibri" w:hAnsi="Calibri" w:cs="Calibri"/>
          <w:sz w:val="24"/>
          <w:szCs w:val="24"/>
          <w:u w:val="single"/>
        </w:rPr>
      </w:pPr>
    </w:p>
    <w:p w14:paraId="4269E134" w14:textId="77777777" w:rsidR="00165737" w:rsidRPr="00370669" w:rsidRDefault="00165737" w:rsidP="00402954">
      <w:pPr>
        <w:numPr>
          <w:ilvl w:val="0"/>
          <w:numId w:val="19"/>
        </w:numPr>
        <w:ind w:hanging="720"/>
        <w:jc w:val="both"/>
        <w:rPr>
          <w:rFonts w:ascii="Calibri" w:hAnsi="Calibri" w:cs="Calibri"/>
          <w:sz w:val="24"/>
          <w:szCs w:val="24"/>
        </w:rPr>
      </w:pPr>
      <w:r w:rsidRPr="00370669">
        <w:rPr>
          <w:rFonts w:ascii="Calibri" w:hAnsi="Calibri" w:cs="Calibri"/>
          <w:sz w:val="24"/>
          <w:szCs w:val="24"/>
        </w:rPr>
        <w:t>Review and monitor, and recommend to the Board of Directors for approval, management development and succession plans for the CEO, in consultation with the Nominating and Corporate Governance Committee.</w:t>
      </w:r>
      <w:r w:rsidRPr="00370669">
        <w:rPr>
          <w:rFonts w:ascii="Calibri" w:hAnsi="Calibri" w:cs="Calibri"/>
          <w:sz w:val="24"/>
          <w:szCs w:val="24"/>
          <w:vertAlign w:val="superscript"/>
        </w:rPr>
        <w:t xml:space="preserve"> </w:t>
      </w:r>
    </w:p>
    <w:p w14:paraId="72F16DB7" w14:textId="77777777" w:rsidR="00402954" w:rsidRPr="00370669" w:rsidRDefault="00402954" w:rsidP="00402954">
      <w:pPr>
        <w:ind w:left="720"/>
        <w:jc w:val="both"/>
        <w:rPr>
          <w:rFonts w:ascii="Calibri" w:hAnsi="Calibri" w:cs="Calibri"/>
          <w:sz w:val="24"/>
          <w:szCs w:val="24"/>
        </w:rPr>
      </w:pPr>
    </w:p>
    <w:p w14:paraId="330AFFEA" w14:textId="77777777" w:rsidR="00165737" w:rsidRPr="00370669" w:rsidRDefault="00165737" w:rsidP="00402954">
      <w:pPr>
        <w:numPr>
          <w:ilvl w:val="0"/>
          <w:numId w:val="19"/>
        </w:numPr>
        <w:ind w:hanging="720"/>
        <w:jc w:val="both"/>
        <w:rPr>
          <w:rFonts w:ascii="Calibri" w:hAnsi="Calibri" w:cs="Calibri"/>
          <w:sz w:val="24"/>
          <w:szCs w:val="24"/>
        </w:rPr>
      </w:pPr>
      <w:r w:rsidRPr="00370669">
        <w:rPr>
          <w:rFonts w:ascii="Calibri" w:hAnsi="Calibri" w:cs="Calibri"/>
          <w:sz w:val="24"/>
          <w:szCs w:val="24"/>
        </w:rPr>
        <w:t>Recommend to the Board of Directors the individual who should assume the position of CEO if that position becomes vacant due to unforeseen circumstances.</w:t>
      </w:r>
    </w:p>
    <w:p w14:paraId="4808865B" w14:textId="77777777" w:rsidR="00B22660" w:rsidRPr="00B16EA2" w:rsidRDefault="00B22660" w:rsidP="00B22660">
      <w:pPr>
        <w:ind w:left="720"/>
        <w:jc w:val="both"/>
        <w:rPr>
          <w:rFonts w:ascii="Calibri" w:hAnsi="Calibri" w:cs="Calibri"/>
          <w:sz w:val="24"/>
          <w:szCs w:val="24"/>
        </w:rPr>
      </w:pPr>
    </w:p>
    <w:p w14:paraId="0A171C71" w14:textId="03CD70EC" w:rsidR="00165737" w:rsidRPr="00B16EA2" w:rsidRDefault="00165737" w:rsidP="00402954">
      <w:pPr>
        <w:numPr>
          <w:ilvl w:val="0"/>
          <w:numId w:val="19"/>
        </w:numPr>
        <w:ind w:hanging="720"/>
        <w:jc w:val="both"/>
        <w:rPr>
          <w:rFonts w:ascii="Calibri" w:hAnsi="Calibri" w:cs="Calibri"/>
          <w:sz w:val="24"/>
          <w:szCs w:val="24"/>
        </w:rPr>
      </w:pPr>
      <w:r w:rsidRPr="00B16EA2">
        <w:rPr>
          <w:rFonts w:ascii="Calibri" w:hAnsi="Calibri" w:cs="Calibri"/>
          <w:sz w:val="24"/>
          <w:szCs w:val="24"/>
        </w:rPr>
        <w:t>Review and monitor, and recommend to the Board of Directors for approval, management development and succession plans for the other executive officers of the Company, and report to the Board of Directors on the status of succession planning on at least an annual basis</w:t>
      </w:r>
      <w:r w:rsidR="009738DE" w:rsidRPr="00B16EA2">
        <w:rPr>
          <w:rFonts w:ascii="Calibri" w:hAnsi="Calibri" w:cs="Calibri"/>
          <w:sz w:val="24"/>
          <w:szCs w:val="24"/>
        </w:rPr>
        <w:t xml:space="preserve">; provided, </w:t>
      </w:r>
      <w:proofErr w:type="gramStart"/>
      <w:r w:rsidR="009738DE" w:rsidRPr="00B16EA2">
        <w:rPr>
          <w:rFonts w:ascii="Calibri" w:hAnsi="Calibri" w:cs="Calibri"/>
          <w:sz w:val="24"/>
          <w:szCs w:val="24"/>
        </w:rPr>
        <w:t>however</w:t>
      </w:r>
      <w:proofErr w:type="gramEnd"/>
      <w:r w:rsidR="009738DE" w:rsidRPr="00B16EA2">
        <w:rPr>
          <w:rFonts w:asciiTheme="minorHAnsi" w:hAnsiTheme="minorHAnsi"/>
          <w:sz w:val="24"/>
        </w:rPr>
        <w:t xml:space="preserve"> this review may be conducted at the full Board level rather than at the Committee level</w:t>
      </w:r>
      <w:r w:rsidRPr="00B16EA2">
        <w:rPr>
          <w:rFonts w:ascii="Calibri" w:hAnsi="Calibri" w:cs="Calibri"/>
          <w:sz w:val="24"/>
          <w:szCs w:val="24"/>
        </w:rPr>
        <w:t>.</w:t>
      </w:r>
    </w:p>
    <w:p w14:paraId="33AAC430" w14:textId="77777777" w:rsidR="00402954" w:rsidRPr="00370669" w:rsidRDefault="00402954" w:rsidP="00402954">
      <w:pPr>
        <w:jc w:val="both"/>
        <w:rPr>
          <w:rFonts w:ascii="Calibri" w:hAnsi="Calibri" w:cs="Calibri"/>
          <w:sz w:val="24"/>
          <w:szCs w:val="24"/>
          <w:u w:val="single"/>
        </w:rPr>
      </w:pPr>
    </w:p>
    <w:p w14:paraId="39353490" w14:textId="77777777" w:rsidR="00165737" w:rsidRPr="00370669" w:rsidRDefault="00165737" w:rsidP="00402954">
      <w:pPr>
        <w:jc w:val="both"/>
        <w:rPr>
          <w:rFonts w:ascii="Calibri" w:hAnsi="Calibri" w:cs="Calibri"/>
          <w:sz w:val="24"/>
          <w:szCs w:val="24"/>
          <w:u w:val="single"/>
        </w:rPr>
      </w:pPr>
      <w:r w:rsidRPr="00370669">
        <w:rPr>
          <w:rFonts w:ascii="Calibri" w:hAnsi="Calibri" w:cs="Calibri"/>
          <w:sz w:val="24"/>
          <w:szCs w:val="24"/>
          <w:u w:val="single"/>
        </w:rPr>
        <w:t>Outside Advisors</w:t>
      </w:r>
    </w:p>
    <w:p w14:paraId="492E4AF5" w14:textId="77777777" w:rsidR="00165737" w:rsidRPr="00370669" w:rsidRDefault="00165737" w:rsidP="00402954">
      <w:pPr>
        <w:jc w:val="both"/>
        <w:rPr>
          <w:rFonts w:ascii="Calibri" w:hAnsi="Calibri" w:cs="Calibri"/>
          <w:sz w:val="24"/>
          <w:szCs w:val="24"/>
        </w:rPr>
      </w:pPr>
    </w:p>
    <w:p w14:paraId="0FFE8042" w14:textId="77777777" w:rsidR="00165737" w:rsidRPr="00370669" w:rsidRDefault="00165737" w:rsidP="00402954">
      <w:pPr>
        <w:numPr>
          <w:ilvl w:val="0"/>
          <w:numId w:val="20"/>
        </w:numPr>
        <w:ind w:hanging="720"/>
        <w:jc w:val="both"/>
        <w:rPr>
          <w:rFonts w:ascii="Calibri" w:hAnsi="Calibri" w:cs="Calibri"/>
          <w:color w:val="000000"/>
          <w:sz w:val="24"/>
          <w:szCs w:val="24"/>
        </w:rPr>
      </w:pPr>
      <w:r w:rsidRPr="00370669">
        <w:rPr>
          <w:rFonts w:ascii="Calibri" w:hAnsi="Calibri" w:cs="Calibri"/>
          <w:sz w:val="24"/>
          <w:szCs w:val="24"/>
        </w:rPr>
        <w:t xml:space="preserve">The Committee shall have sole authority to select, retain, set the compensation for, and obtain the advice of compensation consultants, outside legal counsel and such other advisors as necessary to assist with the execution of its duties and responsibilities as set forth in this Charter.  </w:t>
      </w:r>
    </w:p>
    <w:p w14:paraId="318B22FE" w14:textId="77777777" w:rsidR="00402954" w:rsidRPr="00370669" w:rsidRDefault="00402954" w:rsidP="00402954">
      <w:pPr>
        <w:ind w:left="720"/>
        <w:jc w:val="both"/>
        <w:rPr>
          <w:rFonts w:ascii="Calibri" w:hAnsi="Calibri" w:cs="Calibri"/>
          <w:color w:val="000000"/>
          <w:sz w:val="24"/>
          <w:szCs w:val="24"/>
        </w:rPr>
      </w:pPr>
    </w:p>
    <w:p w14:paraId="41CA3AE6" w14:textId="77777777" w:rsidR="00165737" w:rsidRPr="00370669" w:rsidRDefault="00165737" w:rsidP="00402954">
      <w:pPr>
        <w:numPr>
          <w:ilvl w:val="0"/>
          <w:numId w:val="20"/>
        </w:numPr>
        <w:ind w:hanging="720"/>
        <w:jc w:val="both"/>
        <w:rPr>
          <w:rFonts w:ascii="Calibri" w:hAnsi="Calibri" w:cs="Calibri"/>
          <w:color w:val="000000"/>
          <w:sz w:val="24"/>
          <w:szCs w:val="24"/>
        </w:rPr>
      </w:pPr>
      <w:r w:rsidRPr="00370669">
        <w:rPr>
          <w:rFonts w:ascii="Calibri" w:hAnsi="Calibri" w:cs="Calibri"/>
          <w:color w:val="000000"/>
          <w:sz w:val="24"/>
          <w:szCs w:val="24"/>
        </w:rPr>
        <w:t xml:space="preserve">The Committee shall receive appropriate funding from the Company, as determined by the Committee, for the payment of reasonable compensation to its compensation consultants, outside legal counsel and any other advisors.  </w:t>
      </w:r>
    </w:p>
    <w:p w14:paraId="06424E1E" w14:textId="77777777" w:rsidR="00402954" w:rsidRPr="00370669" w:rsidRDefault="00402954" w:rsidP="00402954">
      <w:pPr>
        <w:pStyle w:val="ListParagraph"/>
        <w:rPr>
          <w:rFonts w:ascii="Calibri" w:hAnsi="Calibri" w:cs="Calibri"/>
          <w:color w:val="000000"/>
          <w:sz w:val="24"/>
          <w:szCs w:val="24"/>
        </w:rPr>
      </w:pPr>
    </w:p>
    <w:p w14:paraId="38BB9018" w14:textId="77777777" w:rsidR="00165737" w:rsidRPr="00370669" w:rsidRDefault="00165737" w:rsidP="00402954">
      <w:pPr>
        <w:numPr>
          <w:ilvl w:val="0"/>
          <w:numId w:val="20"/>
        </w:numPr>
        <w:ind w:hanging="720"/>
        <w:jc w:val="both"/>
        <w:rPr>
          <w:rFonts w:ascii="Calibri" w:hAnsi="Calibri" w:cs="Calibri"/>
          <w:color w:val="000000"/>
          <w:sz w:val="24"/>
          <w:szCs w:val="24"/>
        </w:rPr>
      </w:pPr>
      <w:r w:rsidRPr="00370669">
        <w:rPr>
          <w:rFonts w:ascii="Calibri" w:hAnsi="Calibri" w:cs="Calibri"/>
          <w:sz w:val="24"/>
          <w:szCs w:val="24"/>
        </w:rPr>
        <w:t xml:space="preserve">The Committee shall not be required to implement or act consistently with the advice or recommendations of its compensation consultants, legal counsel or other advisors, and the authority granted in this Charter shall not affect the ability or obligation of the Committee to exercise its own judgment in fulfillment of its duties under this Charter.  </w:t>
      </w:r>
    </w:p>
    <w:p w14:paraId="0E93AF3B" w14:textId="77777777" w:rsidR="00402954" w:rsidRPr="00370669" w:rsidRDefault="00402954" w:rsidP="00402954">
      <w:pPr>
        <w:pStyle w:val="ListParagraph"/>
        <w:rPr>
          <w:rFonts w:ascii="Calibri" w:hAnsi="Calibri" w:cs="Calibri"/>
          <w:color w:val="000000"/>
          <w:sz w:val="24"/>
          <w:szCs w:val="24"/>
        </w:rPr>
      </w:pPr>
    </w:p>
    <w:p w14:paraId="52B61AFC" w14:textId="77777777" w:rsidR="00165737" w:rsidRPr="00370669" w:rsidRDefault="00165737" w:rsidP="00402954">
      <w:pPr>
        <w:numPr>
          <w:ilvl w:val="0"/>
          <w:numId w:val="20"/>
        </w:numPr>
        <w:ind w:hanging="720"/>
        <w:jc w:val="both"/>
        <w:rPr>
          <w:rFonts w:ascii="Calibri" w:hAnsi="Calibri" w:cs="Calibri"/>
          <w:color w:val="000000"/>
          <w:sz w:val="24"/>
          <w:szCs w:val="24"/>
        </w:rPr>
      </w:pPr>
      <w:r w:rsidRPr="00370669">
        <w:rPr>
          <w:rFonts w:ascii="Calibri" w:hAnsi="Calibri" w:cs="Calibri"/>
          <w:sz w:val="24"/>
          <w:szCs w:val="24"/>
        </w:rPr>
        <w:t xml:space="preserve">In retaining or seeking advice from compensation consultants, outside counsel and other advisors (other than the Company's in-house counsel), the Committee must take into consideration the independence factors specified in Section 303A.05(c)(iv) of the NYSE Listed Company Manual.    The Committee may retain, or receive advice from, any compensation advisor it prefers, including ones that are not independent, after considering the specified factors.  </w:t>
      </w:r>
    </w:p>
    <w:p w14:paraId="2F362A5D" w14:textId="77777777" w:rsidR="00402954" w:rsidRPr="00370669" w:rsidRDefault="00402954" w:rsidP="00402954">
      <w:pPr>
        <w:pStyle w:val="ListParagraph"/>
        <w:rPr>
          <w:rFonts w:ascii="Calibri" w:hAnsi="Calibri" w:cs="Calibri"/>
          <w:color w:val="000000"/>
          <w:sz w:val="24"/>
          <w:szCs w:val="24"/>
        </w:rPr>
      </w:pPr>
    </w:p>
    <w:p w14:paraId="4C03EC14" w14:textId="77777777" w:rsidR="00165737" w:rsidRPr="00370669" w:rsidRDefault="00165737" w:rsidP="00402954">
      <w:pPr>
        <w:numPr>
          <w:ilvl w:val="0"/>
          <w:numId w:val="20"/>
        </w:numPr>
        <w:ind w:hanging="720"/>
        <w:jc w:val="both"/>
        <w:rPr>
          <w:rFonts w:ascii="Calibri" w:hAnsi="Calibri" w:cs="Calibri"/>
          <w:color w:val="000000"/>
          <w:sz w:val="24"/>
          <w:szCs w:val="24"/>
        </w:rPr>
      </w:pPr>
      <w:r w:rsidRPr="00370669">
        <w:rPr>
          <w:rFonts w:ascii="Calibri" w:hAnsi="Calibri" w:cs="Calibri"/>
          <w:sz w:val="24"/>
          <w:szCs w:val="24"/>
        </w:rPr>
        <w:t xml:space="preserve">The Committee is not required to assess the independence of any compensation consultant or other advisor that acts in a role limited to consulting on any broad-based plan that does not discriminate in scope, terms or operation in favor of executive officers or directors and that is generally available to all salaried employees, or providing information that is not customized for a particular company or that is customized based on parameters that are not developed by the consultant or advisor and about which the consultant or advisor does not provide advice. </w:t>
      </w:r>
    </w:p>
    <w:p w14:paraId="4D84A13E" w14:textId="77777777" w:rsidR="00402954" w:rsidRPr="00370669" w:rsidRDefault="00402954" w:rsidP="00402954">
      <w:pPr>
        <w:pStyle w:val="ListParagraph"/>
        <w:rPr>
          <w:rFonts w:ascii="Calibri" w:hAnsi="Calibri" w:cs="Calibri"/>
          <w:color w:val="000000"/>
          <w:sz w:val="24"/>
          <w:szCs w:val="24"/>
        </w:rPr>
      </w:pPr>
    </w:p>
    <w:p w14:paraId="742AA987" w14:textId="77777777" w:rsidR="00BA5B4A" w:rsidRPr="00370669" w:rsidRDefault="00165737" w:rsidP="00402954">
      <w:pPr>
        <w:numPr>
          <w:ilvl w:val="0"/>
          <w:numId w:val="20"/>
        </w:numPr>
        <w:ind w:hanging="720"/>
        <w:jc w:val="both"/>
        <w:rPr>
          <w:rFonts w:ascii="Calibri" w:hAnsi="Calibri" w:cs="Calibri"/>
          <w:sz w:val="24"/>
          <w:szCs w:val="24"/>
          <w:u w:val="single"/>
        </w:rPr>
      </w:pPr>
      <w:r w:rsidRPr="00370669">
        <w:rPr>
          <w:rFonts w:ascii="Calibri" w:hAnsi="Calibri" w:cs="Calibri"/>
          <w:sz w:val="24"/>
          <w:szCs w:val="24"/>
        </w:rPr>
        <w:t>The Committee shall evaluate whether any compensation consultant retained or to be retained by it has any conflict of interest in accordance with Item 407(e)(3)(iv) of the SEC’s Regulation S-K.</w:t>
      </w:r>
    </w:p>
    <w:p w14:paraId="23B6905D" w14:textId="77777777" w:rsidR="00402954" w:rsidRPr="00370669" w:rsidRDefault="00402954" w:rsidP="00402954">
      <w:pPr>
        <w:pStyle w:val="ListParagraph"/>
        <w:rPr>
          <w:rFonts w:ascii="Calibri" w:hAnsi="Calibri" w:cs="Calibri"/>
          <w:sz w:val="24"/>
          <w:szCs w:val="24"/>
          <w:u w:val="single"/>
        </w:rPr>
      </w:pPr>
    </w:p>
    <w:p w14:paraId="2DCCFE0D" w14:textId="77777777" w:rsidR="00165737" w:rsidRPr="00370669" w:rsidRDefault="00165737" w:rsidP="00402954">
      <w:pPr>
        <w:jc w:val="both"/>
        <w:rPr>
          <w:rFonts w:ascii="Calibri" w:hAnsi="Calibri" w:cs="Calibri"/>
          <w:sz w:val="24"/>
          <w:szCs w:val="24"/>
          <w:u w:val="single"/>
        </w:rPr>
      </w:pPr>
      <w:r w:rsidRPr="00370669">
        <w:rPr>
          <w:rFonts w:ascii="Calibri" w:hAnsi="Calibri" w:cs="Calibri"/>
          <w:sz w:val="24"/>
          <w:szCs w:val="24"/>
          <w:u w:val="single"/>
        </w:rPr>
        <w:t>Other Matters</w:t>
      </w:r>
    </w:p>
    <w:p w14:paraId="2C3B1064" w14:textId="77777777" w:rsidR="00165737" w:rsidRPr="00370669" w:rsidRDefault="00165737" w:rsidP="00402954">
      <w:pPr>
        <w:jc w:val="both"/>
        <w:rPr>
          <w:rFonts w:ascii="Calibri" w:hAnsi="Calibri" w:cs="Calibri"/>
          <w:sz w:val="24"/>
          <w:szCs w:val="24"/>
        </w:rPr>
      </w:pPr>
    </w:p>
    <w:p w14:paraId="70F093BB"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 xml:space="preserve">The Committee will (i) meet to review and discuss with management the CD&amp;A and will recommend to the Board of Directors whether the CD&amp;A should be included in the Company’s annual proxy statement and (ii) prepare and publish a Compensation Committee Report for inclusion in the Company’s annual proxy statement.  The report will state whether the Committee reviewed and discussed with management the CD&amp;A, and whether the Committee recommended to the Board of Directors that </w:t>
      </w:r>
      <w:proofErr w:type="gramStart"/>
      <w:r w:rsidRPr="00370669">
        <w:rPr>
          <w:rFonts w:ascii="Calibri" w:hAnsi="Calibri" w:cs="Calibri"/>
          <w:sz w:val="24"/>
          <w:szCs w:val="24"/>
        </w:rPr>
        <w:t>the CD</w:t>
      </w:r>
      <w:proofErr w:type="gramEnd"/>
      <w:r w:rsidRPr="00370669">
        <w:rPr>
          <w:rFonts w:ascii="Calibri" w:hAnsi="Calibri" w:cs="Calibri"/>
          <w:sz w:val="24"/>
          <w:szCs w:val="24"/>
        </w:rPr>
        <w:t>&amp;A be included in the Company’s proxy statement or other applicable SEC filings.</w:t>
      </w:r>
    </w:p>
    <w:p w14:paraId="5860711B" w14:textId="77777777" w:rsidR="00402954" w:rsidRPr="00370669" w:rsidRDefault="00402954" w:rsidP="00402954">
      <w:pPr>
        <w:ind w:left="720"/>
        <w:jc w:val="both"/>
        <w:rPr>
          <w:rFonts w:ascii="Calibri" w:hAnsi="Calibri" w:cs="Calibri"/>
          <w:sz w:val="24"/>
          <w:szCs w:val="24"/>
        </w:rPr>
      </w:pPr>
    </w:p>
    <w:p w14:paraId="06E00289"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 xml:space="preserve">The Committee will annually review and approve an assessment of the Company’s compensation programs and policies for employees generally as to whether such programs or policies create incentives that can affect the Company’s overall risk </w:t>
      </w:r>
      <w:r w:rsidR="00B22660" w:rsidRPr="00370669">
        <w:rPr>
          <w:rFonts w:ascii="Calibri" w:hAnsi="Calibri" w:cs="Calibri"/>
          <w:sz w:val="24"/>
          <w:szCs w:val="24"/>
        </w:rPr>
        <w:t>level and</w:t>
      </w:r>
      <w:r w:rsidRPr="00370669">
        <w:rPr>
          <w:rFonts w:ascii="Calibri" w:hAnsi="Calibri" w:cs="Calibri"/>
          <w:sz w:val="24"/>
          <w:szCs w:val="24"/>
        </w:rPr>
        <w:t xml:space="preserve"> determine whether any such risks are reasonably likely to have a material adverse effect on the Company.</w:t>
      </w:r>
    </w:p>
    <w:p w14:paraId="5ACE008F" w14:textId="77777777" w:rsidR="00402954" w:rsidRPr="00370669" w:rsidRDefault="00402954" w:rsidP="00402954">
      <w:pPr>
        <w:pStyle w:val="ListParagraph"/>
        <w:rPr>
          <w:rFonts w:ascii="Calibri" w:hAnsi="Calibri" w:cs="Calibri"/>
          <w:sz w:val="24"/>
          <w:szCs w:val="24"/>
        </w:rPr>
      </w:pPr>
    </w:p>
    <w:p w14:paraId="2BF85008"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 xml:space="preserve">The Committee shall review such other matters within the scope of its responsibilities as the Committee shall determine from time to </w:t>
      </w:r>
      <w:r w:rsidR="00B22660" w:rsidRPr="00370669">
        <w:rPr>
          <w:rFonts w:ascii="Calibri" w:hAnsi="Calibri" w:cs="Calibri"/>
          <w:sz w:val="24"/>
          <w:szCs w:val="24"/>
        </w:rPr>
        <w:t>time and</w:t>
      </w:r>
      <w:r w:rsidRPr="00370669">
        <w:rPr>
          <w:rFonts w:ascii="Calibri" w:hAnsi="Calibri" w:cs="Calibri"/>
          <w:sz w:val="24"/>
          <w:szCs w:val="24"/>
        </w:rPr>
        <w:t xml:space="preserve"> make such recommendations to the Board of Directors with respect thereto as the Committee deems appropriate.</w:t>
      </w:r>
    </w:p>
    <w:p w14:paraId="702313D4" w14:textId="77777777" w:rsidR="00402954" w:rsidRPr="00370669" w:rsidRDefault="00402954" w:rsidP="00402954">
      <w:pPr>
        <w:pStyle w:val="ListParagraph"/>
        <w:rPr>
          <w:rFonts w:ascii="Calibri" w:hAnsi="Calibri" w:cs="Calibri"/>
          <w:sz w:val="24"/>
          <w:szCs w:val="24"/>
        </w:rPr>
      </w:pPr>
    </w:p>
    <w:p w14:paraId="0CBC8C74"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 xml:space="preserve">The Committee shall review and recommend to the Board of Directors for approval the frequency with which the Company </w:t>
      </w:r>
      <w:proofErr w:type="gramStart"/>
      <w:r w:rsidRPr="00370669">
        <w:rPr>
          <w:rFonts w:ascii="Calibri" w:hAnsi="Calibri" w:cs="Calibri"/>
          <w:sz w:val="24"/>
          <w:szCs w:val="24"/>
        </w:rPr>
        <w:t>will conduct</w:t>
      </w:r>
      <w:proofErr w:type="gramEnd"/>
      <w:r w:rsidRPr="00370669">
        <w:rPr>
          <w:rFonts w:ascii="Calibri" w:hAnsi="Calibri" w:cs="Calibri"/>
          <w:sz w:val="24"/>
          <w:szCs w:val="24"/>
        </w:rPr>
        <w:t xml:space="preserve"> </w:t>
      </w:r>
      <w:r w:rsidR="00985EE9" w:rsidRPr="00370669">
        <w:rPr>
          <w:rFonts w:ascii="Calibri" w:hAnsi="Calibri" w:cs="Calibri"/>
          <w:sz w:val="24"/>
          <w:szCs w:val="24"/>
        </w:rPr>
        <w:t xml:space="preserve">stockholder </w:t>
      </w:r>
      <w:r w:rsidRPr="00370669">
        <w:rPr>
          <w:rFonts w:ascii="Calibri" w:hAnsi="Calibri" w:cs="Calibri"/>
          <w:sz w:val="24"/>
          <w:szCs w:val="24"/>
        </w:rPr>
        <w:t>advisory votes on executive compensation.</w:t>
      </w:r>
    </w:p>
    <w:p w14:paraId="3864E8ED" w14:textId="77777777" w:rsidR="00402954" w:rsidRPr="00370669" w:rsidRDefault="00402954" w:rsidP="00402954">
      <w:pPr>
        <w:pStyle w:val="ListParagraph"/>
        <w:rPr>
          <w:rFonts w:ascii="Calibri" w:hAnsi="Calibri" w:cs="Calibri"/>
          <w:sz w:val="24"/>
          <w:szCs w:val="24"/>
        </w:rPr>
      </w:pPr>
    </w:p>
    <w:p w14:paraId="12489B13"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The Committee shall review the Charter annually to assess its adequacy and shall propose any necessary amendments to the Nominating and Corporate Governance Committee.</w:t>
      </w:r>
    </w:p>
    <w:p w14:paraId="0671EC9E" w14:textId="77777777" w:rsidR="00402954" w:rsidRPr="00370669" w:rsidRDefault="00402954" w:rsidP="00402954">
      <w:pPr>
        <w:pStyle w:val="ListParagraph"/>
        <w:rPr>
          <w:rFonts w:ascii="Calibri" w:hAnsi="Calibri" w:cs="Calibri"/>
          <w:sz w:val="24"/>
          <w:szCs w:val="24"/>
        </w:rPr>
      </w:pPr>
    </w:p>
    <w:p w14:paraId="5B8F0C2A" w14:textId="77777777" w:rsidR="00165737" w:rsidRPr="00370669" w:rsidRDefault="00165737" w:rsidP="00402954">
      <w:pPr>
        <w:numPr>
          <w:ilvl w:val="0"/>
          <w:numId w:val="21"/>
        </w:numPr>
        <w:ind w:hanging="720"/>
        <w:jc w:val="both"/>
        <w:rPr>
          <w:rFonts w:ascii="Calibri" w:hAnsi="Calibri" w:cs="Calibri"/>
          <w:sz w:val="24"/>
          <w:szCs w:val="24"/>
        </w:rPr>
      </w:pPr>
      <w:r w:rsidRPr="00370669">
        <w:rPr>
          <w:rFonts w:ascii="Calibri" w:hAnsi="Calibri" w:cs="Calibri"/>
          <w:sz w:val="24"/>
          <w:szCs w:val="24"/>
        </w:rPr>
        <w:t>The Committee shall ensure that an annual evaluation of Committee performance is conducted and presented to the Board of Directors.</w:t>
      </w:r>
    </w:p>
    <w:p w14:paraId="19D28BE4" w14:textId="77777777" w:rsidR="00165737" w:rsidRPr="00370669" w:rsidRDefault="00165737" w:rsidP="00402954">
      <w:pPr>
        <w:jc w:val="both"/>
        <w:rPr>
          <w:rFonts w:ascii="Calibri" w:hAnsi="Calibri" w:cs="Calibri"/>
          <w:sz w:val="24"/>
          <w:szCs w:val="24"/>
        </w:rPr>
      </w:pPr>
    </w:p>
    <w:p w14:paraId="3D4D5B22" w14:textId="77777777" w:rsidR="00C1358D" w:rsidRPr="00370669" w:rsidRDefault="00C1358D" w:rsidP="00402954">
      <w:pPr>
        <w:pStyle w:val="Title"/>
        <w:rPr>
          <w:rFonts w:ascii="Calibri" w:hAnsi="Calibri" w:cs="Calibri"/>
          <w:color w:val="FF0000"/>
          <w:szCs w:val="24"/>
          <w:u w:val="single"/>
        </w:rPr>
      </w:pPr>
    </w:p>
    <w:sectPr w:rsidR="00C1358D" w:rsidRPr="00370669" w:rsidSect="00E158E5">
      <w:footerReference w:type="default" r:id="rId8"/>
      <w:footerReference w:type="first" r:id="rId9"/>
      <w:pgSz w:w="12240" w:h="15840" w:code="1"/>
      <w:pgMar w:top="1440" w:right="1440" w:bottom="1008" w:left="1440" w:header="432"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642E" w14:textId="77777777" w:rsidR="00672485" w:rsidRDefault="00672485">
      <w:r>
        <w:separator/>
      </w:r>
    </w:p>
  </w:endnote>
  <w:endnote w:type="continuationSeparator" w:id="0">
    <w:p w14:paraId="7F9CFF89" w14:textId="77777777" w:rsidR="00672485" w:rsidRDefault="00672485">
      <w:r>
        <w:continuationSeparator/>
      </w:r>
    </w:p>
  </w:endnote>
  <w:endnote w:type="continuationNotice" w:id="1">
    <w:p w14:paraId="49ACBE54" w14:textId="77777777" w:rsidR="00672485" w:rsidRDefault="00672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CE99" w14:textId="77777777" w:rsidR="00372C8C" w:rsidRDefault="002E5B7E" w:rsidP="0039350E">
    <w:pPr>
      <w:pStyle w:val="Footer"/>
      <w:jc w:val="center"/>
      <w:rPr>
        <w:rStyle w:val="PageNumber"/>
        <w:sz w:val="24"/>
        <w:szCs w:val="24"/>
      </w:rPr>
    </w:pPr>
    <w:r w:rsidRPr="0039350E">
      <w:rPr>
        <w:rStyle w:val="PageNumber"/>
        <w:sz w:val="24"/>
        <w:szCs w:val="24"/>
      </w:rPr>
      <w:fldChar w:fldCharType="begin"/>
    </w:r>
    <w:r w:rsidRPr="0039350E">
      <w:rPr>
        <w:rStyle w:val="PageNumber"/>
        <w:sz w:val="24"/>
        <w:szCs w:val="24"/>
      </w:rPr>
      <w:instrText xml:space="preserve"> PAGE </w:instrText>
    </w:r>
    <w:r w:rsidRPr="0039350E">
      <w:rPr>
        <w:rStyle w:val="PageNumber"/>
        <w:sz w:val="24"/>
        <w:szCs w:val="24"/>
      </w:rPr>
      <w:fldChar w:fldCharType="separate"/>
    </w:r>
    <w:r w:rsidR="00402954">
      <w:rPr>
        <w:rStyle w:val="PageNumber"/>
        <w:noProof/>
        <w:sz w:val="24"/>
        <w:szCs w:val="24"/>
      </w:rPr>
      <w:t>2</w:t>
    </w:r>
    <w:r w:rsidRPr="0039350E">
      <w:rPr>
        <w:rStyle w:val="PageNumber"/>
        <w:sz w:val="24"/>
        <w:szCs w:val="24"/>
      </w:rPr>
      <w:fldChar w:fldCharType="end"/>
    </w:r>
  </w:p>
  <w:p w14:paraId="573F09F9" w14:textId="5E01DB06" w:rsidR="002E5B7E" w:rsidRPr="0039350E" w:rsidRDefault="00372C8C" w:rsidP="00372C8C">
    <w:pPr>
      <w:pStyle w:val="Footer"/>
      <w:rPr>
        <w:sz w:val="24"/>
        <w:szCs w:val="24"/>
      </w:rPr>
    </w:pPr>
    <w:r>
      <w:rPr>
        <w:sz w:val="12"/>
        <w:szCs w:val="24"/>
      </w:rPr>
      <w:fldChar w:fldCharType="begin"/>
    </w:r>
    <w:r>
      <w:rPr>
        <w:sz w:val="12"/>
        <w:szCs w:val="24"/>
      </w:rPr>
      <w:instrText xml:space="preserve"> </w:instrText>
    </w:r>
    <w:r w:rsidRPr="00372C8C">
      <w:rPr>
        <w:sz w:val="12"/>
        <w:szCs w:val="24"/>
      </w:rPr>
      <w:instrText>IF "</w:instrText>
    </w:r>
    <w:r w:rsidRPr="00372C8C">
      <w:rPr>
        <w:sz w:val="12"/>
        <w:szCs w:val="24"/>
      </w:rPr>
      <w:fldChar w:fldCharType="begin"/>
    </w:r>
    <w:r w:rsidRPr="00372C8C">
      <w:rPr>
        <w:sz w:val="12"/>
        <w:szCs w:val="24"/>
      </w:rPr>
      <w:instrText xml:space="preserve"> DOCVARIABLE "SWDocIDLocation" </w:instrText>
    </w:r>
    <w:r w:rsidRPr="00372C8C">
      <w:rPr>
        <w:sz w:val="12"/>
        <w:szCs w:val="24"/>
      </w:rPr>
      <w:fldChar w:fldCharType="separate"/>
    </w:r>
    <w:r w:rsidR="007710F6">
      <w:rPr>
        <w:sz w:val="12"/>
        <w:szCs w:val="24"/>
      </w:rPr>
      <w:instrText>1</w:instrText>
    </w:r>
    <w:r w:rsidRPr="00372C8C">
      <w:rPr>
        <w:sz w:val="12"/>
        <w:szCs w:val="24"/>
      </w:rPr>
      <w:fldChar w:fldCharType="end"/>
    </w:r>
    <w:r w:rsidRPr="00372C8C">
      <w:rPr>
        <w:sz w:val="12"/>
        <w:szCs w:val="24"/>
      </w:rPr>
      <w:instrText>" = "1" "</w:instrText>
    </w:r>
    <w:r w:rsidRPr="00372C8C">
      <w:rPr>
        <w:sz w:val="12"/>
        <w:szCs w:val="24"/>
      </w:rPr>
      <w:fldChar w:fldCharType="begin"/>
    </w:r>
    <w:r w:rsidRPr="00372C8C">
      <w:rPr>
        <w:sz w:val="12"/>
        <w:szCs w:val="24"/>
      </w:rPr>
      <w:instrText xml:space="preserve"> DOCPROPERTY "SWDocID" </w:instrText>
    </w:r>
    <w:r w:rsidRPr="00372C8C">
      <w:rPr>
        <w:sz w:val="12"/>
        <w:szCs w:val="24"/>
      </w:rPr>
      <w:fldChar w:fldCharType="separate"/>
    </w:r>
    <w:r w:rsidR="007710F6">
      <w:rPr>
        <w:sz w:val="12"/>
        <w:szCs w:val="24"/>
      </w:rPr>
      <w:instrText>122163018.4</w:instrText>
    </w:r>
    <w:r w:rsidRPr="00372C8C">
      <w:rPr>
        <w:sz w:val="12"/>
        <w:szCs w:val="24"/>
      </w:rPr>
      <w:fldChar w:fldCharType="end"/>
    </w:r>
    <w:r w:rsidRPr="00372C8C">
      <w:rPr>
        <w:sz w:val="12"/>
        <w:szCs w:val="24"/>
      </w:rPr>
      <w:instrText>" ""</w:instrText>
    </w:r>
    <w:r>
      <w:rPr>
        <w:sz w:val="12"/>
        <w:szCs w:val="24"/>
      </w:rPr>
      <w:instrText xml:space="preserve"> </w:instrText>
    </w:r>
    <w:r>
      <w:rPr>
        <w:sz w:val="12"/>
        <w:szCs w:val="24"/>
      </w:rPr>
      <w:fldChar w:fldCharType="separate"/>
    </w:r>
    <w:r w:rsidR="007710F6">
      <w:rPr>
        <w:noProof/>
        <w:sz w:val="12"/>
        <w:szCs w:val="24"/>
      </w:rPr>
      <w:t>122163018.4</w:t>
    </w:r>
    <w:r>
      <w:rPr>
        <w:sz w:val="1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85B" w14:textId="77777777" w:rsidR="00372C8C" w:rsidRDefault="00372C8C">
    <w:pPr>
      <w:pStyle w:val="Footer"/>
    </w:pPr>
  </w:p>
  <w:p w14:paraId="7B000ABC" w14:textId="059E2933" w:rsidR="00C46718" w:rsidRDefault="00372C8C" w:rsidP="00372C8C">
    <w:pPr>
      <w:pStyle w:val="Footer"/>
    </w:pPr>
    <w:r>
      <w:rPr>
        <w:sz w:val="12"/>
      </w:rPr>
      <w:fldChar w:fldCharType="begin"/>
    </w:r>
    <w:r>
      <w:rPr>
        <w:sz w:val="12"/>
      </w:rPr>
      <w:instrText xml:space="preserve"> </w:instrText>
    </w:r>
    <w:r w:rsidRPr="00372C8C">
      <w:rPr>
        <w:sz w:val="12"/>
      </w:rPr>
      <w:instrText>IF "</w:instrText>
    </w:r>
    <w:r w:rsidRPr="00372C8C">
      <w:rPr>
        <w:sz w:val="12"/>
      </w:rPr>
      <w:fldChar w:fldCharType="begin"/>
    </w:r>
    <w:r w:rsidRPr="00372C8C">
      <w:rPr>
        <w:sz w:val="12"/>
      </w:rPr>
      <w:instrText xml:space="preserve"> DOCVARIABLE "SWDocIDLocation" </w:instrText>
    </w:r>
    <w:r w:rsidRPr="00372C8C">
      <w:rPr>
        <w:sz w:val="12"/>
      </w:rPr>
      <w:fldChar w:fldCharType="separate"/>
    </w:r>
    <w:r w:rsidR="007710F6">
      <w:rPr>
        <w:sz w:val="12"/>
      </w:rPr>
      <w:instrText>1</w:instrText>
    </w:r>
    <w:r w:rsidRPr="00372C8C">
      <w:rPr>
        <w:sz w:val="12"/>
      </w:rPr>
      <w:fldChar w:fldCharType="end"/>
    </w:r>
    <w:r w:rsidRPr="00372C8C">
      <w:rPr>
        <w:sz w:val="12"/>
      </w:rPr>
      <w:instrText>" = "1" "</w:instrText>
    </w:r>
    <w:r w:rsidRPr="00372C8C">
      <w:rPr>
        <w:sz w:val="12"/>
      </w:rPr>
      <w:fldChar w:fldCharType="begin"/>
    </w:r>
    <w:r w:rsidRPr="00372C8C">
      <w:rPr>
        <w:sz w:val="12"/>
      </w:rPr>
      <w:instrText xml:space="preserve"> DOCPROPERTY "SWDocID" </w:instrText>
    </w:r>
    <w:r w:rsidRPr="00372C8C">
      <w:rPr>
        <w:sz w:val="12"/>
      </w:rPr>
      <w:fldChar w:fldCharType="separate"/>
    </w:r>
    <w:r w:rsidR="007710F6">
      <w:rPr>
        <w:sz w:val="12"/>
      </w:rPr>
      <w:instrText>122163018.4</w:instrText>
    </w:r>
    <w:r w:rsidRPr="00372C8C">
      <w:rPr>
        <w:sz w:val="12"/>
      </w:rPr>
      <w:fldChar w:fldCharType="end"/>
    </w:r>
    <w:r w:rsidRPr="00372C8C">
      <w:rPr>
        <w:sz w:val="12"/>
      </w:rPr>
      <w:instrText>" ""</w:instrText>
    </w:r>
    <w:r>
      <w:rPr>
        <w:sz w:val="12"/>
      </w:rPr>
      <w:instrText xml:space="preserve"> </w:instrText>
    </w:r>
    <w:r>
      <w:rPr>
        <w:sz w:val="12"/>
      </w:rPr>
      <w:fldChar w:fldCharType="separate"/>
    </w:r>
    <w:r w:rsidR="007710F6">
      <w:rPr>
        <w:noProof/>
        <w:sz w:val="12"/>
      </w:rPr>
      <w:t>122163018.4</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9DB3" w14:textId="77777777" w:rsidR="00672485" w:rsidRDefault="00672485">
      <w:r>
        <w:separator/>
      </w:r>
    </w:p>
  </w:footnote>
  <w:footnote w:type="continuationSeparator" w:id="0">
    <w:p w14:paraId="54C0BA4B" w14:textId="77777777" w:rsidR="00672485" w:rsidRDefault="00672485">
      <w:r>
        <w:continuationSeparator/>
      </w:r>
    </w:p>
  </w:footnote>
  <w:footnote w:type="continuationNotice" w:id="1">
    <w:p w14:paraId="23820446" w14:textId="77777777" w:rsidR="00672485" w:rsidRDefault="00672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D80"/>
    <w:multiLevelType w:val="singleLevel"/>
    <w:tmpl w:val="7348047C"/>
    <w:lvl w:ilvl="0">
      <w:start w:val="1"/>
      <w:numFmt w:val="decimal"/>
      <w:pStyle w:val="EndnoteText"/>
      <w:lvlText w:val="%1."/>
      <w:lvlJc w:val="left"/>
      <w:pPr>
        <w:tabs>
          <w:tab w:val="num" w:pos="720"/>
        </w:tabs>
        <w:ind w:left="720" w:hanging="720"/>
      </w:pPr>
      <w:rPr>
        <w:rFonts w:hint="default"/>
        <w:color w:val="auto"/>
      </w:rPr>
    </w:lvl>
  </w:abstractNum>
  <w:abstractNum w:abstractNumId="1" w15:restartNumberingAfterBreak="0">
    <w:nsid w:val="092928A0"/>
    <w:multiLevelType w:val="hybridMultilevel"/>
    <w:tmpl w:val="60D67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F2D11"/>
    <w:multiLevelType w:val="hybridMultilevel"/>
    <w:tmpl w:val="6B8A029E"/>
    <w:lvl w:ilvl="0" w:tplc="C70EE590">
      <w:start w:val="1"/>
      <w:numFmt w:val="decimal"/>
      <w:lvlText w:val="%1."/>
      <w:lvlJc w:val="left"/>
      <w:pPr>
        <w:tabs>
          <w:tab w:val="num" w:pos="806"/>
        </w:tabs>
        <w:ind w:left="806"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85E5B"/>
    <w:multiLevelType w:val="hybridMultilevel"/>
    <w:tmpl w:val="1428C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C37812"/>
    <w:multiLevelType w:val="singleLevel"/>
    <w:tmpl w:val="06D449BE"/>
    <w:lvl w:ilvl="0">
      <w:start w:val="1"/>
      <w:numFmt w:val="decimal"/>
      <w:lvlText w:val="%1."/>
      <w:lvlJc w:val="left"/>
      <w:pPr>
        <w:tabs>
          <w:tab w:val="num" w:pos="792"/>
        </w:tabs>
        <w:ind w:left="792" w:hanging="360"/>
      </w:pPr>
      <w:rPr>
        <w:rFonts w:hint="default"/>
        <w:b w:val="0"/>
        <w:i w:val="0"/>
      </w:rPr>
    </w:lvl>
  </w:abstractNum>
  <w:abstractNum w:abstractNumId="5" w15:restartNumberingAfterBreak="0">
    <w:nsid w:val="2E010714"/>
    <w:multiLevelType w:val="singleLevel"/>
    <w:tmpl w:val="1A6A9966"/>
    <w:lvl w:ilvl="0">
      <w:start w:val="1"/>
      <w:numFmt w:val="upperRoman"/>
      <w:pStyle w:val="TabbedL1"/>
      <w:lvlText w:val="%1."/>
      <w:lvlJc w:val="left"/>
      <w:pPr>
        <w:tabs>
          <w:tab w:val="num" w:pos="720"/>
        </w:tabs>
        <w:ind w:left="288" w:hanging="288"/>
      </w:pPr>
      <w:rPr>
        <w:b/>
      </w:rPr>
    </w:lvl>
  </w:abstractNum>
  <w:abstractNum w:abstractNumId="6" w15:restartNumberingAfterBreak="0">
    <w:nsid w:val="313E65D1"/>
    <w:multiLevelType w:val="hybridMultilevel"/>
    <w:tmpl w:val="1298CC28"/>
    <w:lvl w:ilvl="0" w:tplc="9022F01E">
      <w:start w:val="1"/>
      <w:numFmt w:val="lowerLetter"/>
      <w:lvlText w:val="(%1)"/>
      <w:lvlJc w:val="left"/>
      <w:pPr>
        <w:ind w:left="720" w:hanging="360"/>
      </w:pPr>
      <w:rPr>
        <w:rFonts w:ascii="Calibri" w:eastAsia="Calibri" w:hAnsi="Calibri" w:cs="Calibr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6001E"/>
    <w:multiLevelType w:val="hybridMultilevel"/>
    <w:tmpl w:val="0710532C"/>
    <w:lvl w:ilvl="0" w:tplc="7C46F268">
      <w:start w:val="1"/>
      <w:numFmt w:val="decimal"/>
      <w:lvlText w:val="%1."/>
      <w:lvlJc w:val="left"/>
      <w:pPr>
        <w:tabs>
          <w:tab w:val="num" w:pos="720"/>
        </w:tabs>
        <w:ind w:left="0" w:firstLine="0"/>
      </w:pPr>
      <w:rPr>
        <w:rFonts w:hint="default"/>
        <w:b w:val="0"/>
        <w:i w:val="0"/>
      </w:rPr>
    </w:lvl>
    <w:lvl w:ilvl="1" w:tplc="C70EE59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80393"/>
    <w:multiLevelType w:val="hybridMultilevel"/>
    <w:tmpl w:val="9E244978"/>
    <w:lvl w:ilvl="0" w:tplc="73526F48">
      <w:start w:val="1"/>
      <w:numFmt w:val="decimal"/>
      <w:lvlText w:val="%1."/>
      <w:lvlJc w:val="left"/>
      <w:pPr>
        <w:tabs>
          <w:tab w:val="num" w:pos="1822"/>
        </w:tabs>
        <w:ind w:left="1822" w:hanging="360"/>
      </w:pPr>
      <w:rPr>
        <w:rFonts w:hint="default"/>
        <w:b w:val="0"/>
        <w:i w:val="0"/>
      </w:rPr>
    </w:lvl>
    <w:lvl w:ilvl="1" w:tplc="B95ECE28">
      <w:start w:val="4"/>
      <w:numFmt w:val="upperLetter"/>
      <w:lvlText w:val="%2."/>
      <w:lvlJc w:val="left"/>
      <w:pPr>
        <w:tabs>
          <w:tab w:val="num" w:pos="1152"/>
        </w:tabs>
        <w:ind w:left="1152" w:hanging="648"/>
      </w:pPr>
      <w:rPr>
        <w:rFonts w:hint="default"/>
        <w:b w:val="0"/>
        <w:i w:val="0"/>
      </w:rPr>
    </w:lvl>
    <w:lvl w:ilvl="2" w:tplc="73526F48">
      <w:start w:val="1"/>
      <w:numFmt w:val="decimal"/>
      <w:lvlText w:val="%3."/>
      <w:lvlJc w:val="left"/>
      <w:pPr>
        <w:tabs>
          <w:tab w:val="num" w:pos="3370"/>
        </w:tabs>
        <w:ind w:left="3370" w:hanging="360"/>
      </w:pPr>
      <w:rPr>
        <w:rFonts w:hint="default"/>
        <w:b w:val="0"/>
        <w:i w:val="0"/>
      </w:rPr>
    </w:lvl>
    <w:lvl w:ilvl="3" w:tplc="0409000F" w:tentative="1">
      <w:start w:val="1"/>
      <w:numFmt w:val="decimal"/>
      <w:lvlText w:val="%4."/>
      <w:lvlJc w:val="left"/>
      <w:pPr>
        <w:tabs>
          <w:tab w:val="num" w:pos="3910"/>
        </w:tabs>
        <w:ind w:left="3910" w:hanging="360"/>
      </w:pPr>
    </w:lvl>
    <w:lvl w:ilvl="4" w:tplc="04090019" w:tentative="1">
      <w:start w:val="1"/>
      <w:numFmt w:val="lowerLetter"/>
      <w:lvlText w:val="%5."/>
      <w:lvlJc w:val="left"/>
      <w:pPr>
        <w:tabs>
          <w:tab w:val="num" w:pos="4630"/>
        </w:tabs>
        <w:ind w:left="4630" w:hanging="360"/>
      </w:pPr>
    </w:lvl>
    <w:lvl w:ilvl="5" w:tplc="0409001B" w:tentative="1">
      <w:start w:val="1"/>
      <w:numFmt w:val="lowerRoman"/>
      <w:lvlText w:val="%6."/>
      <w:lvlJc w:val="right"/>
      <w:pPr>
        <w:tabs>
          <w:tab w:val="num" w:pos="5350"/>
        </w:tabs>
        <w:ind w:left="5350" w:hanging="180"/>
      </w:pPr>
    </w:lvl>
    <w:lvl w:ilvl="6" w:tplc="0409000F" w:tentative="1">
      <w:start w:val="1"/>
      <w:numFmt w:val="decimal"/>
      <w:lvlText w:val="%7."/>
      <w:lvlJc w:val="left"/>
      <w:pPr>
        <w:tabs>
          <w:tab w:val="num" w:pos="6070"/>
        </w:tabs>
        <w:ind w:left="6070" w:hanging="360"/>
      </w:pPr>
    </w:lvl>
    <w:lvl w:ilvl="7" w:tplc="04090019" w:tentative="1">
      <w:start w:val="1"/>
      <w:numFmt w:val="lowerLetter"/>
      <w:lvlText w:val="%8."/>
      <w:lvlJc w:val="left"/>
      <w:pPr>
        <w:tabs>
          <w:tab w:val="num" w:pos="6790"/>
        </w:tabs>
        <w:ind w:left="6790" w:hanging="360"/>
      </w:pPr>
    </w:lvl>
    <w:lvl w:ilvl="8" w:tplc="0409001B" w:tentative="1">
      <w:start w:val="1"/>
      <w:numFmt w:val="lowerRoman"/>
      <w:lvlText w:val="%9."/>
      <w:lvlJc w:val="right"/>
      <w:pPr>
        <w:tabs>
          <w:tab w:val="num" w:pos="7510"/>
        </w:tabs>
        <w:ind w:left="7510" w:hanging="180"/>
      </w:pPr>
    </w:lvl>
  </w:abstractNum>
  <w:abstractNum w:abstractNumId="9" w15:restartNumberingAfterBreak="0">
    <w:nsid w:val="4BEC5FAE"/>
    <w:multiLevelType w:val="hybridMultilevel"/>
    <w:tmpl w:val="E6DC1F6C"/>
    <w:lvl w:ilvl="0" w:tplc="7AD6E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437DB"/>
    <w:multiLevelType w:val="hybridMultilevel"/>
    <w:tmpl w:val="0B263112"/>
    <w:lvl w:ilvl="0" w:tplc="11CC1E4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4F3A2F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EC0491"/>
    <w:multiLevelType w:val="hybridMultilevel"/>
    <w:tmpl w:val="C4965986"/>
    <w:lvl w:ilvl="0" w:tplc="7AD6E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64D60"/>
    <w:multiLevelType w:val="hybridMultilevel"/>
    <w:tmpl w:val="55ECA79C"/>
    <w:lvl w:ilvl="0" w:tplc="7AD6E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2564C"/>
    <w:multiLevelType w:val="hybridMultilevel"/>
    <w:tmpl w:val="4B8243CC"/>
    <w:lvl w:ilvl="0" w:tplc="7C46F268">
      <w:start w:val="1"/>
      <w:numFmt w:val="upperLetter"/>
      <w:lvlText w:val="%1."/>
      <w:lvlJc w:val="left"/>
      <w:pPr>
        <w:tabs>
          <w:tab w:val="num" w:pos="1894"/>
        </w:tabs>
        <w:ind w:left="1894" w:hanging="432"/>
      </w:pPr>
      <w:rPr>
        <w:rFonts w:hint="default"/>
        <w:b w:val="0"/>
        <w:i w:val="0"/>
      </w:rPr>
    </w:lvl>
    <w:lvl w:ilvl="1" w:tplc="6C38342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75E796C">
      <w:start w:val="1"/>
      <w:numFmt w:val="upperLetter"/>
      <w:lvlText w:val="%5."/>
      <w:lvlJc w:val="left"/>
      <w:pPr>
        <w:tabs>
          <w:tab w:val="num" w:pos="1368"/>
        </w:tabs>
        <w:ind w:left="1368" w:hanging="648"/>
      </w:pPr>
      <w:rPr>
        <w:rFonts w:hint="default"/>
        <w:b w:val="0"/>
        <w:i w:val="0"/>
      </w:rPr>
    </w:lvl>
    <w:lvl w:ilvl="5" w:tplc="06D449BE">
      <w:start w:val="1"/>
      <w:numFmt w:val="decimal"/>
      <w:lvlText w:val="%6."/>
      <w:lvlJc w:val="left"/>
      <w:pPr>
        <w:tabs>
          <w:tab w:val="num" w:pos="4500"/>
        </w:tabs>
        <w:ind w:left="4500" w:hanging="360"/>
      </w:pPr>
      <w:rPr>
        <w:rFonts w:hint="default"/>
        <w:b w:val="0"/>
        <w:i w:val="0"/>
      </w:rPr>
    </w:lvl>
    <w:lvl w:ilvl="6" w:tplc="CD5860A2">
      <w:start w:val="3"/>
      <w:numFmt w:val="upperLetter"/>
      <w:pStyle w:val="Heading6"/>
      <w:lvlText w:val="%7."/>
      <w:lvlJc w:val="left"/>
      <w:pPr>
        <w:tabs>
          <w:tab w:val="num" w:pos="5112"/>
        </w:tabs>
        <w:ind w:left="5112" w:hanging="432"/>
      </w:pPr>
      <w:rPr>
        <w:rFonts w:hint="default"/>
        <w:b w:val="0"/>
        <w:i w:val="0"/>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0A3E7E"/>
    <w:multiLevelType w:val="hybridMultilevel"/>
    <w:tmpl w:val="7A66FC1A"/>
    <w:lvl w:ilvl="0" w:tplc="0409000F">
      <w:start w:val="1"/>
      <w:numFmt w:val="decimal"/>
      <w:lvlText w:val="%1."/>
      <w:lvlJc w:val="left"/>
      <w:pPr>
        <w:tabs>
          <w:tab w:val="num" w:pos="720"/>
        </w:tabs>
        <w:ind w:left="720" w:hanging="360"/>
      </w:pPr>
      <w:rPr>
        <w:rFonts w:hint="default"/>
      </w:rPr>
    </w:lvl>
    <w:lvl w:ilvl="1" w:tplc="28D61F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C13212"/>
    <w:multiLevelType w:val="hybridMultilevel"/>
    <w:tmpl w:val="BD3A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A78C6"/>
    <w:multiLevelType w:val="hybridMultilevel"/>
    <w:tmpl w:val="82E28DCA"/>
    <w:lvl w:ilvl="0" w:tplc="04B85D90">
      <w:start w:val="4"/>
      <w:numFmt w:val="upperLetter"/>
      <w:lvlText w:val="%1."/>
      <w:lvlJc w:val="left"/>
      <w:pPr>
        <w:tabs>
          <w:tab w:val="num" w:pos="866"/>
        </w:tabs>
        <w:ind w:left="866" w:hanging="420"/>
      </w:pPr>
      <w:rPr>
        <w:rFonts w:hint="default"/>
        <w:u w:val="none"/>
      </w:rPr>
    </w:lvl>
    <w:lvl w:ilvl="1" w:tplc="C70EE590">
      <w:start w:val="1"/>
      <w:numFmt w:val="decimal"/>
      <w:lvlText w:val="%2."/>
      <w:lvlJc w:val="left"/>
      <w:pPr>
        <w:tabs>
          <w:tab w:val="num" w:pos="1526"/>
        </w:tabs>
        <w:ind w:left="1526" w:hanging="360"/>
      </w:pPr>
      <w:rPr>
        <w:rFonts w:hint="default"/>
        <w:u w:val="none"/>
      </w:r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num w:numId="1" w16cid:durableId="772289199">
    <w:abstractNumId w:val="1"/>
  </w:num>
  <w:num w:numId="2" w16cid:durableId="393087640">
    <w:abstractNumId w:val="3"/>
  </w:num>
  <w:num w:numId="3" w16cid:durableId="433087354">
    <w:abstractNumId w:val="4"/>
  </w:num>
  <w:num w:numId="4" w16cid:durableId="185876326">
    <w:abstractNumId w:val="14"/>
  </w:num>
  <w:num w:numId="5" w16cid:durableId="1893618441">
    <w:abstractNumId w:val="8"/>
  </w:num>
  <w:num w:numId="6" w16cid:durableId="1322197001">
    <w:abstractNumId w:val="14"/>
    <w:lvlOverride w:ilvl="0">
      <w:startOverride w:val="1"/>
    </w:lvlOverride>
    <w:lvlOverride w:ilvl="1">
      <w:startOverride w:val="1"/>
    </w:lvlOverride>
  </w:num>
  <w:num w:numId="7" w16cid:durableId="591010292">
    <w:abstractNumId w:val="15"/>
  </w:num>
  <w:num w:numId="8" w16cid:durableId="1688629997">
    <w:abstractNumId w:val="10"/>
  </w:num>
  <w:num w:numId="9" w16cid:durableId="1263951300">
    <w:abstractNumId w:val="11"/>
  </w:num>
  <w:num w:numId="10" w16cid:durableId="1860312375">
    <w:abstractNumId w:val="7"/>
  </w:num>
  <w:num w:numId="11" w16cid:durableId="1820808053">
    <w:abstractNumId w:val="17"/>
  </w:num>
  <w:num w:numId="12" w16cid:durableId="1844514226">
    <w:abstractNumId w:val="2"/>
  </w:num>
  <w:num w:numId="13" w16cid:durableId="409429841">
    <w:abstractNumId w:val="5"/>
  </w:num>
  <w:num w:numId="14" w16cid:durableId="1673605147">
    <w:abstractNumId w:val="0"/>
  </w:num>
  <w:num w:numId="15" w16cid:durableId="1021711696">
    <w:abstractNumId w:val="0"/>
    <w:lvlOverride w:ilvl="0">
      <w:startOverride w:val="1"/>
    </w:lvlOverride>
  </w:num>
  <w:num w:numId="16" w16cid:durableId="1543177417">
    <w:abstractNumId w:val="0"/>
    <w:lvlOverride w:ilvl="0">
      <w:startOverride w:val="1"/>
    </w:lvlOverride>
  </w:num>
  <w:num w:numId="17" w16cid:durableId="1325939293">
    <w:abstractNumId w:val="0"/>
    <w:lvlOverride w:ilvl="0">
      <w:startOverride w:val="1"/>
    </w:lvlOverride>
  </w:num>
  <w:num w:numId="18" w16cid:durableId="1179811514">
    <w:abstractNumId w:val="16"/>
  </w:num>
  <w:num w:numId="19" w16cid:durableId="1932348604">
    <w:abstractNumId w:val="9"/>
  </w:num>
  <w:num w:numId="20" w16cid:durableId="347560133">
    <w:abstractNumId w:val="13"/>
  </w:num>
  <w:num w:numId="21" w16cid:durableId="1306469187">
    <w:abstractNumId w:val="12"/>
  </w:num>
  <w:num w:numId="22" w16cid:durableId="272131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160C93"/>
    <w:rsid w:val="00006C70"/>
    <w:rsid w:val="00022742"/>
    <w:rsid w:val="0002664F"/>
    <w:rsid w:val="00031FE4"/>
    <w:rsid w:val="00040335"/>
    <w:rsid w:val="00043C39"/>
    <w:rsid w:val="00064AE1"/>
    <w:rsid w:val="00065216"/>
    <w:rsid w:val="00066FB7"/>
    <w:rsid w:val="00067392"/>
    <w:rsid w:val="00080173"/>
    <w:rsid w:val="0008140C"/>
    <w:rsid w:val="00081472"/>
    <w:rsid w:val="000A2176"/>
    <w:rsid w:val="000A431D"/>
    <w:rsid w:val="000B438D"/>
    <w:rsid w:val="000C601A"/>
    <w:rsid w:val="000C6A30"/>
    <w:rsid w:val="000C6CD9"/>
    <w:rsid w:val="000D2D4E"/>
    <w:rsid w:val="000E281D"/>
    <w:rsid w:val="000E4800"/>
    <w:rsid w:val="000E6605"/>
    <w:rsid w:val="000E6D4A"/>
    <w:rsid w:val="000F0ABF"/>
    <w:rsid w:val="000F112B"/>
    <w:rsid w:val="000F3D23"/>
    <w:rsid w:val="00100DE3"/>
    <w:rsid w:val="00115950"/>
    <w:rsid w:val="00120206"/>
    <w:rsid w:val="001214C7"/>
    <w:rsid w:val="0012460F"/>
    <w:rsid w:val="0012652C"/>
    <w:rsid w:val="001300AB"/>
    <w:rsid w:val="00136D92"/>
    <w:rsid w:val="0014394C"/>
    <w:rsid w:val="00151002"/>
    <w:rsid w:val="00154DE2"/>
    <w:rsid w:val="00160C93"/>
    <w:rsid w:val="00161DA5"/>
    <w:rsid w:val="00165737"/>
    <w:rsid w:val="00175A2D"/>
    <w:rsid w:val="00176163"/>
    <w:rsid w:val="00177B4E"/>
    <w:rsid w:val="00182147"/>
    <w:rsid w:val="00185B16"/>
    <w:rsid w:val="001918CF"/>
    <w:rsid w:val="001924F9"/>
    <w:rsid w:val="00194B85"/>
    <w:rsid w:val="001A15AA"/>
    <w:rsid w:val="001A469E"/>
    <w:rsid w:val="001B0233"/>
    <w:rsid w:val="001C1F10"/>
    <w:rsid w:val="001C4000"/>
    <w:rsid w:val="001D1337"/>
    <w:rsid w:val="001D5105"/>
    <w:rsid w:val="001E72D2"/>
    <w:rsid w:val="001F7C56"/>
    <w:rsid w:val="00204282"/>
    <w:rsid w:val="00204C86"/>
    <w:rsid w:val="00207F24"/>
    <w:rsid w:val="002107FA"/>
    <w:rsid w:val="00216050"/>
    <w:rsid w:val="00216A3C"/>
    <w:rsid w:val="00222865"/>
    <w:rsid w:val="002268FD"/>
    <w:rsid w:val="00226BA6"/>
    <w:rsid w:val="0022782F"/>
    <w:rsid w:val="002333E9"/>
    <w:rsid w:val="002340AB"/>
    <w:rsid w:val="00242733"/>
    <w:rsid w:val="0024380B"/>
    <w:rsid w:val="00243BDA"/>
    <w:rsid w:val="0024688B"/>
    <w:rsid w:val="00251C3A"/>
    <w:rsid w:val="00254094"/>
    <w:rsid w:val="002649BE"/>
    <w:rsid w:val="00271026"/>
    <w:rsid w:val="002719AF"/>
    <w:rsid w:val="00274D49"/>
    <w:rsid w:val="00291952"/>
    <w:rsid w:val="00294F71"/>
    <w:rsid w:val="0029799A"/>
    <w:rsid w:val="002A09C7"/>
    <w:rsid w:val="002A58C3"/>
    <w:rsid w:val="002B0A35"/>
    <w:rsid w:val="002B0CE0"/>
    <w:rsid w:val="002C1ED6"/>
    <w:rsid w:val="002C755D"/>
    <w:rsid w:val="002E0838"/>
    <w:rsid w:val="002E3F21"/>
    <w:rsid w:val="002E51F7"/>
    <w:rsid w:val="002E5B7E"/>
    <w:rsid w:val="002E5FD5"/>
    <w:rsid w:val="00302A60"/>
    <w:rsid w:val="00310005"/>
    <w:rsid w:val="00330801"/>
    <w:rsid w:val="00337D67"/>
    <w:rsid w:val="003407B8"/>
    <w:rsid w:val="003420FF"/>
    <w:rsid w:val="003504F4"/>
    <w:rsid w:val="0035246E"/>
    <w:rsid w:val="00353595"/>
    <w:rsid w:val="00366386"/>
    <w:rsid w:val="00370669"/>
    <w:rsid w:val="00372C8C"/>
    <w:rsid w:val="00374399"/>
    <w:rsid w:val="00380573"/>
    <w:rsid w:val="00390540"/>
    <w:rsid w:val="0039200B"/>
    <w:rsid w:val="0039350E"/>
    <w:rsid w:val="003970D8"/>
    <w:rsid w:val="003A6C71"/>
    <w:rsid w:val="003A786C"/>
    <w:rsid w:val="003D46CD"/>
    <w:rsid w:val="003D4BB1"/>
    <w:rsid w:val="003D5452"/>
    <w:rsid w:val="003D6411"/>
    <w:rsid w:val="003F0B4B"/>
    <w:rsid w:val="003F769F"/>
    <w:rsid w:val="004020AE"/>
    <w:rsid w:val="00402954"/>
    <w:rsid w:val="00404922"/>
    <w:rsid w:val="0041005F"/>
    <w:rsid w:val="00413210"/>
    <w:rsid w:val="004203F9"/>
    <w:rsid w:val="00420FA8"/>
    <w:rsid w:val="004244B2"/>
    <w:rsid w:val="00427C55"/>
    <w:rsid w:val="004357A3"/>
    <w:rsid w:val="0043645D"/>
    <w:rsid w:val="00440EE3"/>
    <w:rsid w:val="00444A81"/>
    <w:rsid w:val="00453A73"/>
    <w:rsid w:val="00473231"/>
    <w:rsid w:val="00475739"/>
    <w:rsid w:val="00487BF4"/>
    <w:rsid w:val="00493C07"/>
    <w:rsid w:val="00494B3B"/>
    <w:rsid w:val="0049691F"/>
    <w:rsid w:val="00497D3C"/>
    <w:rsid w:val="004A08E3"/>
    <w:rsid w:val="004A2560"/>
    <w:rsid w:val="004A420A"/>
    <w:rsid w:val="004A7C76"/>
    <w:rsid w:val="004C13B1"/>
    <w:rsid w:val="004C3F5F"/>
    <w:rsid w:val="004C4C60"/>
    <w:rsid w:val="004C63B0"/>
    <w:rsid w:val="004D0AF4"/>
    <w:rsid w:val="004D0F26"/>
    <w:rsid w:val="004D75BA"/>
    <w:rsid w:val="004E4A9F"/>
    <w:rsid w:val="004F33EF"/>
    <w:rsid w:val="004F5BB9"/>
    <w:rsid w:val="004F7DF3"/>
    <w:rsid w:val="00502E4E"/>
    <w:rsid w:val="00504F84"/>
    <w:rsid w:val="005146FF"/>
    <w:rsid w:val="00517911"/>
    <w:rsid w:val="0052086C"/>
    <w:rsid w:val="00522C1E"/>
    <w:rsid w:val="00524491"/>
    <w:rsid w:val="005260DA"/>
    <w:rsid w:val="00530043"/>
    <w:rsid w:val="00533801"/>
    <w:rsid w:val="005367DB"/>
    <w:rsid w:val="005405CC"/>
    <w:rsid w:val="0054102B"/>
    <w:rsid w:val="005419B4"/>
    <w:rsid w:val="00542558"/>
    <w:rsid w:val="005459D0"/>
    <w:rsid w:val="00545D3E"/>
    <w:rsid w:val="00546337"/>
    <w:rsid w:val="0055347E"/>
    <w:rsid w:val="005552E9"/>
    <w:rsid w:val="00563CDC"/>
    <w:rsid w:val="00565B5C"/>
    <w:rsid w:val="005668B4"/>
    <w:rsid w:val="005728BF"/>
    <w:rsid w:val="0057512B"/>
    <w:rsid w:val="00575D0E"/>
    <w:rsid w:val="00592FF4"/>
    <w:rsid w:val="005952B5"/>
    <w:rsid w:val="00595536"/>
    <w:rsid w:val="005A6088"/>
    <w:rsid w:val="005D1343"/>
    <w:rsid w:val="005E5FBE"/>
    <w:rsid w:val="005E6ED8"/>
    <w:rsid w:val="005F08BD"/>
    <w:rsid w:val="00602683"/>
    <w:rsid w:val="00603216"/>
    <w:rsid w:val="006072CC"/>
    <w:rsid w:val="00607B2A"/>
    <w:rsid w:val="00612087"/>
    <w:rsid w:val="0062454C"/>
    <w:rsid w:val="00624887"/>
    <w:rsid w:val="00630DD5"/>
    <w:rsid w:val="00633EB8"/>
    <w:rsid w:val="00641CA8"/>
    <w:rsid w:val="00642009"/>
    <w:rsid w:val="00643FA0"/>
    <w:rsid w:val="0065399C"/>
    <w:rsid w:val="00654523"/>
    <w:rsid w:val="00667C66"/>
    <w:rsid w:val="00672485"/>
    <w:rsid w:val="006835C2"/>
    <w:rsid w:val="00686A43"/>
    <w:rsid w:val="00690709"/>
    <w:rsid w:val="00696484"/>
    <w:rsid w:val="00696657"/>
    <w:rsid w:val="006A2935"/>
    <w:rsid w:val="006A59D6"/>
    <w:rsid w:val="006B079B"/>
    <w:rsid w:val="006B09AA"/>
    <w:rsid w:val="006B3588"/>
    <w:rsid w:val="006D7AAC"/>
    <w:rsid w:val="006E2C41"/>
    <w:rsid w:val="006E3366"/>
    <w:rsid w:val="006E38F8"/>
    <w:rsid w:val="006E4DF0"/>
    <w:rsid w:val="006E7B99"/>
    <w:rsid w:val="006F5B63"/>
    <w:rsid w:val="0070694A"/>
    <w:rsid w:val="0070698C"/>
    <w:rsid w:val="00713BDE"/>
    <w:rsid w:val="007154B2"/>
    <w:rsid w:val="00717414"/>
    <w:rsid w:val="007223C8"/>
    <w:rsid w:val="007276EC"/>
    <w:rsid w:val="00730336"/>
    <w:rsid w:val="00732CEE"/>
    <w:rsid w:val="00747B15"/>
    <w:rsid w:val="00747E0F"/>
    <w:rsid w:val="007532F8"/>
    <w:rsid w:val="00754213"/>
    <w:rsid w:val="007549E4"/>
    <w:rsid w:val="007654A8"/>
    <w:rsid w:val="007654A9"/>
    <w:rsid w:val="00765EA5"/>
    <w:rsid w:val="00770571"/>
    <w:rsid w:val="007710F6"/>
    <w:rsid w:val="00785CB6"/>
    <w:rsid w:val="00791527"/>
    <w:rsid w:val="00792592"/>
    <w:rsid w:val="007929EB"/>
    <w:rsid w:val="007A4B94"/>
    <w:rsid w:val="007A62FF"/>
    <w:rsid w:val="007B3068"/>
    <w:rsid w:val="007C0EB7"/>
    <w:rsid w:val="007C1C1D"/>
    <w:rsid w:val="007D648D"/>
    <w:rsid w:val="00810260"/>
    <w:rsid w:val="00811893"/>
    <w:rsid w:val="008132C1"/>
    <w:rsid w:val="00822908"/>
    <w:rsid w:val="008253B6"/>
    <w:rsid w:val="008261E8"/>
    <w:rsid w:val="008314B0"/>
    <w:rsid w:val="00834697"/>
    <w:rsid w:val="00834C8B"/>
    <w:rsid w:val="00855EE6"/>
    <w:rsid w:val="00857A68"/>
    <w:rsid w:val="00860F8E"/>
    <w:rsid w:val="00863ED1"/>
    <w:rsid w:val="0087180A"/>
    <w:rsid w:val="00873383"/>
    <w:rsid w:val="0087720E"/>
    <w:rsid w:val="008817B9"/>
    <w:rsid w:val="0088199B"/>
    <w:rsid w:val="00884387"/>
    <w:rsid w:val="008857D0"/>
    <w:rsid w:val="0089081E"/>
    <w:rsid w:val="00892CC2"/>
    <w:rsid w:val="008A09A5"/>
    <w:rsid w:val="008A0FC1"/>
    <w:rsid w:val="008B036B"/>
    <w:rsid w:val="008B31F6"/>
    <w:rsid w:val="008C060B"/>
    <w:rsid w:val="008E0730"/>
    <w:rsid w:val="008E0A2C"/>
    <w:rsid w:val="008E1418"/>
    <w:rsid w:val="008E211A"/>
    <w:rsid w:val="008E3DE3"/>
    <w:rsid w:val="008F4359"/>
    <w:rsid w:val="0090139F"/>
    <w:rsid w:val="00902ADB"/>
    <w:rsid w:val="00910B27"/>
    <w:rsid w:val="00910E20"/>
    <w:rsid w:val="009131C7"/>
    <w:rsid w:val="0091484D"/>
    <w:rsid w:val="00914F07"/>
    <w:rsid w:val="00921483"/>
    <w:rsid w:val="0092299D"/>
    <w:rsid w:val="00922E03"/>
    <w:rsid w:val="009304DF"/>
    <w:rsid w:val="009322A3"/>
    <w:rsid w:val="00945C4E"/>
    <w:rsid w:val="00947F78"/>
    <w:rsid w:val="009525F2"/>
    <w:rsid w:val="0096219A"/>
    <w:rsid w:val="00967987"/>
    <w:rsid w:val="00973030"/>
    <w:rsid w:val="0097357E"/>
    <w:rsid w:val="009738DE"/>
    <w:rsid w:val="00977032"/>
    <w:rsid w:val="0097774F"/>
    <w:rsid w:val="00977BFE"/>
    <w:rsid w:val="00985EE9"/>
    <w:rsid w:val="00994E0B"/>
    <w:rsid w:val="00996140"/>
    <w:rsid w:val="009A26FD"/>
    <w:rsid w:val="009A4454"/>
    <w:rsid w:val="009A4753"/>
    <w:rsid w:val="009B22CE"/>
    <w:rsid w:val="009C1426"/>
    <w:rsid w:val="009C1EBE"/>
    <w:rsid w:val="009C22DE"/>
    <w:rsid w:val="009C4A2B"/>
    <w:rsid w:val="009D5090"/>
    <w:rsid w:val="009D72E7"/>
    <w:rsid w:val="009E737C"/>
    <w:rsid w:val="009F1B70"/>
    <w:rsid w:val="00A00595"/>
    <w:rsid w:val="00A01DA3"/>
    <w:rsid w:val="00A11060"/>
    <w:rsid w:val="00A13C26"/>
    <w:rsid w:val="00A15C56"/>
    <w:rsid w:val="00A17132"/>
    <w:rsid w:val="00A17A39"/>
    <w:rsid w:val="00A3058D"/>
    <w:rsid w:val="00A33030"/>
    <w:rsid w:val="00A34F16"/>
    <w:rsid w:val="00A37663"/>
    <w:rsid w:val="00A47DA9"/>
    <w:rsid w:val="00A54913"/>
    <w:rsid w:val="00A54E5F"/>
    <w:rsid w:val="00A70198"/>
    <w:rsid w:val="00A77EAD"/>
    <w:rsid w:val="00A8189A"/>
    <w:rsid w:val="00A819D4"/>
    <w:rsid w:val="00A84388"/>
    <w:rsid w:val="00A97334"/>
    <w:rsid w:val="00AA615F"/>
    <w:rsid w:val="00AA61F7"/>
    <w:rsid w:val="00AB5E44"/>
    <w:rsid w:val="00AC46A8"/>
    <w:rsid w:val="00AC5689"/>
    <w:rsid w:val="00AD3191"/>
    <w:rsid w:val="00AD3278"/>
    <w:rsid w:val="00AE2E4F"/>
    <w:rsid w:val="00AF147D"/>
    <w:rsid w:val="00B0390E"/>
    <w:rsid w:val="00B15187"/>
    <w:rsid w:val="00B1549D"/>
    <w:rsid w:val="00B16EA2"/>
    <w:rsid w:val="00B22660"/>
    <w:rsid w:val="00B3390C"/>
    <w:rsid w:val="00B412A1"/>
    <w:rsid w:val="00B56968"/>
    <w:rsid w:val="00B602A0"/>
    <w:rsid w:val="00B610A1"/>
    <w:rsid w:val="00B668C2"/>
    <w:rsid w:val="00B679CA"/>
    <w:rsid w:val="00B71809"/>
    <w:rsid w:val="00B7381B"/>
    <w:rsid w:val="00B778B7"/>
    <w:rsid w:val="00B80D4E"/>
    <w:rsid w:val="00B81087"/>
    <w:rsid w:val="00B845C8"/>
    <w:rsid w:val="00B918C1"/>
    <w:rsid w:val="00B9340E"/>
    <w:rsid w:val="00BA5B4A"/>
    <w:rsid w:val="00BB281B"/>
    <w:rsid w:val="00BB3233"/>
    <w:rsid w:val="00BB38BE"/>
    <w:rsid w:val="00BB3AC9"/>
    <w:rsid w:val="00BB4B3F"/>
    <w:rsid w:val="00BB6319"/>
    <w:rsid w:val="00BB6496"/>
    <w:rsid w:val="00BC7B47"/>
    <w:rsid w:val="00BE034B"/>
    <w:rsid w:val="00BE0D86"/>
    <w:rsid w:val="00BE21DD"/>
    <w:rsid w:val="00BE411F"/>
    <w:rsid w:val="00BE5EB9"/>
    <w:rsid w:val="00BE66B0"/>
    <w:rsid w:val="00BE67CB"/>
    <w:rsid w:val="00BF01AE"/>
    <w:rsid w:val="00BF08CC"/>
    <w:rsid w:val="00BF0FF1"/>
    <w:rsid w:val="00C037B3"/>
    <w:rsid w:val="00C050A5"/>
    <w:rsid w:val="00C1358D"/>
    <w:rsid w:val="00C16AA6"/>
    <w:rsid w:val="00C2133E"/>
    <w:rsid w:val="00C22734"/>
    <w:rsid w:val="00C22B0A"/>
    <w:rsid w:val="00C42995"/>
    <w:rsid w:val="00C43436"/>
    <w:rsid w:val="00C44E05"/>
    <w:rsid w:val="00C46718"/>
    <w:rsid w:val="00C52F44"/>
    <w:rsid w:val="00C6285E"/>
    <w:rsid w:val="00C643D7"/>
    <w:rsid w:val="00C72D56"/>
    <w:rsid w:val="00C8399D"/>
    <w:rsid w:val="00C855E5"/>
    <w:rsid w:val="00C9161D"/>
    <w:rsid w:val="00C91B46"/>
    <w:rsid w:val="00C932BB"/>
    <w:rsid w:val="00C969EF"/>
    <w:rsid w:val="00CB1E44"/>
    <w:rsid w:val="00CB4B08"/>
    <w:rsid w:val="00CB55AB"/>
    <w:rsid w:val="00CB6FC6"/>
    <w:rsid w:val="00CC11AB"/>
    <w:rsid w:val="00CC14B5"/>
    <w:rsid w:val="00CE0AA9"/>
    <w:rsid w:val="00CE1DE4"/>
    <w:rsid w:val="00CE28F8"/>
    <w:rsid w:val="00CE3F76"/>
    <w:rsid w:val="00CE5E52"/>
    <w:rsid w:val="00CF11EC"/>
    <w:rsid w:val="00CF60D1"/>
    <w:rsid w:val="00D008A2"/>
    <w:rsid w:val="00D15CA7"/>
    <w:rsid w:val="00D20379"/>
    <w:rsid w:val="00D228E8"/>
    <w:rsid w:val="00D25B0D"/>
    <w:rsid w:val="00D356AF"/>
    <w:rsid w:val="00D368D7"/>
    <w:rsid w:val="00D407D3"/>
    <w:rsid w:val="00D55219"/>
    <w:rsid w:val="00D5797A"/>
    <w:rsid w:val="00D63165"/>
    <w:rsid w:val="00D6570F"/>
    <w:rsid w:val="00D66318"/>
    <w:rsid w:val="00D75221"/>
    <w:rsid w:val="00D76568"/>
    <w:rsid w:val="00D77DC7"/>
    <w:rsid w:val="00D816B9"/>
    <w:rsid w:val="00D832C5"/>
    <w:rsid w:val="00D83695"/>
    <w:rsid w:val="00D85BE3"/>
    <w:rsid w:val="00D919C5"/>
    <w:rsid w:val="00DA39DE"/>
    <w:rsid w:val="00DA71D9"/>
    <w:rsid w:val="00DB4566"/>
    <w:rsid w:val="00DB4920"/>
    <w:rsid w:val="00DB6E43"/>
    <w:rsid w:val="00DC0B1A"/>
    <w:rsid w:val="00DD058F"/>
    <w:rsid w:val="00DD1ECA"/>
    <w:rsid w:val="00DD3001"/>
    <w:rsid w:val="00DD7CF8"/>
    <w:rsid w:val="00DE43A2"/>
    <w:rsid w:val="00DF1E21"/>
    <w:rsid w:val="00DF26ED"/>
    <w:rsid w:val="00DF6207"/>
    <w:rsid w:val="00E02DB4"/>
    <w:rsid w:val="00E10025"/>
    <w:rsid w:val="00E1279A"/>
    <w:rsid w:val="00E12844"/>
    <w:rsid w:val="00E138A7"/>
    <w:rsid w:val="00E158E5"/>
    <w:rsid w:val="00E2047F"/>
    <w:rsid w:val="00E22669"/>
    <w:rsid w:val="00E22D5F"/>
    <w:rsid w:val="00E23CA9"/>
    <w:rsid w:val="00E25C1B"/>
    <w:rsid w:val="00E3592D"/>
    <w:rsid w:val="00E43474"/>
    <w:rsid w:val="00E4640B"/>
    <w:rsid w:val="00E64E23"/>
    <w:rsid w:val="00E6666E"/>
    <w:rsid w:val="00E710F8"/>
    <w:rsid w:val="00E7235A"/>
    <w:rsid w:val="00E72AA1"/>
    <w:rsid w:val="00E77C8D"/>
    <w:rsid w:val="00E84DC4"/>
    <w:rsid w:val="00EB0980"/>
    <w:rsid w:val="00EB17F9"/>
    <w:rsid w:val="00EB1A2A"/>
    <w:rsid w:val="00EB20D8"/>
    <w:rsid w:val="00EB41C3"/>
    <w:rsid w:val="00EB7442"/>
    <w:rsid w:val="00EC416F"/>
    <w:rsid w:val="00EC62F6"/>
    <w:rsid w:val="00ED5A7C"/>
    <w:rsid w:val="00ED5D68"/>
    <w:rsid w:val="00EE07B5"/>
    <w:rsid w:val="00EE34EE"/>
    <w:rsid w:val="00EE3B55"/>
    <w:rsid w:val="00EF137D"/>
    <w:rsid w:val="00EF3C5B"/>
    <w:rsid w:val="00EF7394"/>
    <w:rsid w:val="00F0237C"/>
    <w:rsid w:val="00F05A51"/>
    <w:rsid w:val="00F110A1"/>
    <w:rsid w:val="00F16D47"/>
    <w:rsid w:val="00F26DB1"/>
    <w:rsid w:val="00F30E75"/>
    <w:rsid w:val="00F43072"/>
    <w:rsid w:val="00F61F6A"/>
    <w:rsid w:val="00F73EA2"/>
    <w:rsid w:val="00F74489"/>
    <w:rsid w:val="00F74A9A"/>
    <w:rsid w:val="00F949A2"/>
    <w:rsid w:val="00F94FDB"/>
    <w:rsid w:val="00F97D76"/>
    <w:rsid w:val="00FB059B"/>
    <w:rsid w:val="00FB2B54"/>
    <w:rsid w:val="00FC5181"/>
    <w:rsid w:val="00FD11BD"/>
    <w:rsid w:val="00FD2096"/>
    <w:rsid w:val="00FD2A6C"/>
    <w:rsid w:val="00FD44BE"/>
    <w:rsid w:val="00FD5076"/>
    <w:rsid w:val="00FD6A0F"/>
    <w:rsid w:val="00FE1166"/>
    <w:rsid w:val="00FE53B1"/>
    <w:rsid w:val="00FE7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54AB2"/>
  <w15:chartTrackingRefBased/>
  <w15:docId w15:val="{897EB8E2-38CD-49AE-BEC0-4BF8CEBA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ookman Old Style" w:hAnsi="Bookman Old Style"/>
      <w:b/>
      <w:sz w:val="22"/>
      <w:u w:val="single"/>
    </w:rPr>
  </w:style>
  <w:style w:type="paragraph" w:styleId="Heading2">
    <w:name w:val="heading 2"/>
    <w:basedOn w:val="Normal"/>
    <w:next w:val="Normal"/>
    <w:qFormat/>
    <w:pPr>
      <w:keepNext/>
      <w:tabs>
        <w:tab w:val="right" w:pos="8640"/>
      </w:tabs>
      <w:jc w:val="center"/>
      <w:outlineLvl w:val="1"/>
    </w:pPr>
    <w:rPr>
      <w:b/>
      <w:sz w:val="24"/>
      <w:u w:val="single"/>
    </w:rPr>
  </w:style>
  <w:style w:type="paragraph" w:styleId="Heading3">
    <w:name w:val="heading 3"/>
    <w:basedOn w:val="Normal"/>
    <w:next w:val="Normal"/>
    <w:qFormat/>
    <w:pPr>
      <w:keepNext/>
      <w:tabs>
        <w:tab w:val="right" w:pos="8640"/>
      </w:tabs>
      <w:outlineLvl w:val="2"/>
    </w:pPr>
    <w:rPr>
      <w:sz w:val="24"/>
    </w:rPr>
  </w:style>
  <w:style w:type="paragraph" w:styleId="Heading5">
    <w:name w:val="heading 5"/>
    <w:basedOn w:val="Normal"/>
    <w:next w:val="Normal"/>
    <w:qFormat/>
    <w:rsid w:val="00BB281B"/>
    <w:pPr>
      <w:keepNext/>
      <w:ind w:right="576"/>
      <w:outlineLvl w:val="4"/>
    </w:pPr>
    <w:rPr>
      <w:color w:val="000000"/>
      <w:sz w:val="24"/>
      <w:u w:val="single"/>
    </w:rPr>
  </w:style>
  <w:style w:type="paragraph" w:styleId="Heading6">
    <w:name w:val="heading 6"/>
    <w:basedOn w:val="Normal"/>
    <w:next w:val="Normal"/>
    <w:qFormat/>
    <w:rsid w:val="00BB281B"/>
    <w:pPr>
      <w:keepNext/>
      <w:numPr>
        <w:ilvl w:val="6"/>
        <w:numId w:val="4"/>
      </w:numPr>
      <w:tabs>
        <w:tab w:val="clear" w:pos="5112"/>
        <w:tab w:val="num" w:pos="900"/>
      </w:tabs>
      <w:ind w:hanging="4662"/>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8640"/>
      </w:tabs>
    </w:pPr>
    <w:rPr>
      <w:sz w:val="24"/>
    </w:rPr>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FirstIndent">
    <w:name w:val="Body Text First Indent"/>
    <w:basedOn w:val="BodyText"/>
    <w:pPr>
      <w:tabs>
        <w:tab w:val="clear" w:pos="8640"/>
      </w:tabs>
      <w:spacing w:after="120"/>
      <w:ind w:firstLine="210"/>
    </w:pPr>
    <w:rPr>
      <w:sz w:val="20"/>
    </w:rPr>
  </w:style>
  <w:style w:type="paragraph" w:styleId="NormalWeb">
    <w:name w:val="Normal (Web)"/>
    <w:basedOn w:val="Normal"/>
    <w:pPr>
      <w:spacing w:before="100" w:beforeAutospacing="1" w:after="100" w:afterAutospacing="1"/>
    </w:pPr>
    <w:rPr>
      <w:rFonts w:ascii="Arial" w:hAnsi="Arial" w:cs="Arial"/>
      <w:sz w:val="18"/>
      <w:szCs w:val="18"/>
    </w:rPr>
  </w:style>
  <w:style w:type="paragraph" w:styleId="Title">
    <w:name w:val="Title"/>
    <w:basedOn w:val="Normal"/>
    <w:qFormat/>
    <w:rsid w:val="00BB281B"/>
    <w:pPr>
      <w:jc w:val="center"/>
    </w:pPr>
    <w:rPr>
      <w:rFonts w:ascii="Arial" w:hAnsi="Arial"/>
      <w:b/>
      <w:sz w:val="24"/>
    </w:rPr>
  </w:style>
  <w:style w:type="paragraph" w:styleId="BodyText2">
    <w:name w:val="Body Text 2"/>
    <w:basedOn w:val="Normal"/>
    <w:rsid w:val="00BB281B"/>
    <w:pPr>
      <w:ind w:right="576"/>
    </w:pPr>
    <w:rPr>
      <w:color w:val="000000"/>
      <w:sz w:val="24"/>
    </w:rPr>
  </w:style>
  <w:style w:type="paragraph" w:styleId="EndnoteText">
    <w:name w:val="endnote text"/>
    <w:basedOn w:val="Normal"/>
    <w:semiHidden/>
    <w:rsid w:val="001D1337"/>
    <w:pPr>
      <w:numPr>
        <w:numId w:val="14"/>
      </w:numPr>
      <w:spacing w:after="240"/>
    </w:pPr>
    <w:rPr>
      <w:sz w:val="24"/>
    </w:rPr>
  </w:style>
  <w:style w:type="paragraph" w:customStyle="1" w:styleId="IndentedL1">
    <w:name w:val="Indented_L1"/>
    <w:basedOn w:val="Normal"/>
    <w:next w:val="Normal"/>
    <w:rsid w:val="001D1337"/>
    <w:pPr>
      <w:spacing w:after="240"/>
      <w:outlineLvl w:val="0"/>
    </w:pPr>
    <w:rPr>
      <w:sz w:val="24"/>
    </w:rPr>
  </w:style>
  <w:style w:type="paragraph" w:customStyle="1" w:styleId="TabbedL1">
    <w:name w:val="Tabbed_L1"/>
    <w:basedOn w:val="Normal"/>
    <w:rsid w:val="001D1337"/>
    <w:pPr>
      <w:numPr>
        <w:numId w:val="13"/>
      </w:numPr>
    </w:pPr>
    <w:rPr>
      <w:sz w:val="24"/>
    </w:rPr>
  </w:style>
  <w:style w:type="paragraph" w:styleId="ListParagraph">
    <w:name w:val="List Paragraph"/>
    <w:basedOn w:val="Normal"/>
    <w:uiPriority w:val="34"/>
    <w:qFormat/>
    <w:rsid w:val="00402954"/>
    <w:pPr>
      <w:ind w:left="720"/>
    </w:pPr>
  </w:style>
  <w:style w:type="character" w:styleId="CommentReference">
    <w:name w:val="annotation reference"/>
    <w:uiPriority w:val="99"/>
    <w:unhideWhenUsed/>
    <w:rsid w:val="008A09A5"/>
    <w:rPr>
      <w:sz w:val="16"/>
      <w:szCs w:val="16"/>
    </w:rPr>
  </w:style>
  <w:style w:type="paragraph" w:styleId="CommentText">
    <w:name w:val="annotation text"/>
    <w:basedOn w:val="Normal"/>
    <w:link w:val="CommentTextChar"/>
    <w:uiPriority w:val="99"/>
    <w:unhideWhenUsed/>
    <w:rsid w:val="008A09A5"/>
    <w:pPr>
      <w:spacing w:after="160"/>
    </w:pPr>
  </w:style>
  <w:style w:type="character" w:customStyle="1" w:styleId="CommentTextChar">
    <w:name w:val="Comment Text Char"/>
    <w:basedOn w:val="DefaultParagraphFont"/>
    <w:link w:val="CommentText"/>
    <w:uiPriority w:val="99"/>
    <w:rsid w:val="008A09A5"/>
  </w:style>
  <w:style w:type="paragraph" w:styleId="Revision">
    <w:name w:val="Revision"/>
    <w:hidden/>
    <w:uiPriority w:val="99"/>
    <w:semiHidden/>
    <w:rsid w:val="002E5FD5"/>
  </w:style>
  <w:style w:type="paragraph" w:styleId="CommentSubject">
    <w:name w:val="annotation subject"/>
    <w:basedOn w:val="CommentText"/>
    <w:next w:val="CommentText"/>
    <w:link w:val="CommentSubjectChar"/>
    <w:rsid w:val="001E72D2"/>
    <w:pPr>
      <w:spacing w:after="0"/>
    </w:pPr>
    <w:rPr>
      <w:b/>
      <w:bCs/>
    </w:rPr>
  </w:style>
  <w:style w:type="character" w:customStyle="1" w:styleId="CommentSubjectChar">
    <w:name w:val="Comment Subject Char"/>
    <w:basedOn w:val="CommentTextChar"/>
    <w:link w:val="CommentSubject"/>
    <w:rsid w:val="001E7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4221">
      <w:bodyDiv w:val="1"/>
      <w:marLeft w:val="0"/>
      <w:marRight w:val="0"/>
      <w:marTop w:val="0"/>
      <w:marBottom w:val="0"/>
      <w:divBdr>
        <w:top w:val="none" w:sz="0" w:space="0" w:color="auto"/>
        <w:left w:val="none" w:sz="0" w:space="0" w:color="auto"/>
        <w:bottom w:val="none" w:sz="0" w:space="0" w:color="auto"/>
        <w:right w:val="none" w:sz="0" w:space="0" w:color="auto"/>
      </w:divBdr>
      <w:divsChild>
        <w:div w:id="1172722090">
          <w:marLeft w:val="0"/>
          <w:marRight w:val="0"/>
          <w:marTop w:val="0"/>
          <w:marBottom w:val="0"/>
          <w:divBdr>
            <w:top w:val="none" w:sz="0" w:space="0" w:color="auto"/>
            <w:left w:val="none" w:sz="0" w:space="0" w:color="auto"/>
            <w:bottom w:val="none" w:sz="0" w:space="0" w:color="auto"/>
            <w:right w:val="none" w:sz="0" w:space="0" w:color="auto"/>
          </w:divBdr>
          <w:divsChild>
            <w:div w:id="204946565">
              <w:marLeft w:val="0"/>
              <w:marRight w:val="0"/>
              <w:marTop w:val="0"/>
              <w:marBottom w:val="0"/>
              <w:divBdr>
                <w:top w:val="none" w:sz="0" w:space="0" w:color="auto"/>
                <w:left w:val="none" w:sz="0" w:space="0" w:color="auto"/>
                <w:bottom w:val="none" w:sz="0" w:space="0" w:color="auto"/>
                <w:right w:val="none" w:sz="0" w:space="0" w:color="auto"/>
              </w:divBdr>
              <w:divsChild>
                <w:div w:id="2051152578">
                  <w:marLeft w:val="0"/>
                  <w:marRight w:val="0"/>
                  <w:marTop w:val="0"/>
                  <w:marBottom w:val="0"/>
                  <w:divBdr>
                    <w:top w:val="none" w:sz="0" w:space="0" w:color="auto"/>
                    <w:left w:val="none" w:sz="0" w:space="0" w:color="auto"/>
                    <w:bottom w:val="none" w:sz="0" w:space="0" w:color="auto"/>
                    <w:right w:val="none" w:sz="0" w:space="0" w:color="auto"/>
                  </w:divBdr>
                  <w:divsChild>
                    <w:div w:id="1409762722">
                      <w:marLeft w:val="0"/>
                      <w:marRight w:val="0"/>
                      <w:marTop w:val="0"/>
                      <w:marBottom w:val="0"/>
                      <w:divBdr>
                        <w:top w:val="none" w:sz="0" w:space="0" w:color="auto"/>
                        <w:left w:val="none" w:sz="0" w:space="0" w:color="auto"/>
                        <w:bottom w:val="none" w:sz="0" w:space="0" w:color="auto"/>
                        <w:right w:val="none" w:sz="0" w:space="0" w:color="auto"/>
                      </w:divBdr>
                      <w:divsChild>
                        <w:div w:id="692921639">
                          <w:marLeft w:val="0"/>
                          <w:marRight w:val="0"/>
                          <w:marTop w:val="0"/>
                          <w:marBottom w:val="0"/>
                          <w:divBdr>
                            <w:top w:val="none" w:sz="0" w:space="0" w:color="auto"/>
                            <w:left w:val="none" w:sz="0" w:space="0" w:color="auto"/>
                            <w:bottom w:val="none" w:sz="0" w:space="0" w:color="auto"/>
                            <w:right w:val="none" w:sz="0" w:space="0" w:color="auto"/>
                          </w:divBdr>
                          <w:divsChild>
                            <w:div w:id="21244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0343">
      <w:bodyDiv w:val="1"/>
      <w:marLeft w:val="0"/>
      <w:marRight w:val="0"/>
      <w:marTop w:val="0"/>
      <w:marBottom w:val="0"/>
      <w:divBdr>
        <w:top w:val="none" w:sz="0" w:space="0" w:color="auto"/>
        <w:left w:val="none" w:sz="0" w:space="0" w:color="auto"/>
        <w:bottom w:val="none" w:sz="0" w:space="0" w:color="auto"/>
        <w:right w:val="none" w:sz="0" w:space="0" w:color="auto"/>
      </w:divBdr>
      <w:divsChild>
        <w:div w:id="526451319">
          <w:marLeft w:val="0"/>
          <w:marRight w:val="0"/>
          <w:marTop w:val="0"/>
          <w:marBottom w:val="0"/>
          <w:divBdr>
            <w:top w:val="none" w:sz="0" w:space="0" w:color="auto"/>
            <w:left w:val="none" w:sz="0" w:space="0" w:color="auto"/>
            <w:bottom w:val="none" w:sz="0" w:space="0" w:color="auto"/>
            <w:right w:val="none" w:sz="0" w:space="0" w:color="auto"/>
          </w:divBdr>
          <w:divsChild>
            <w:div w:id="1884366541">
              <w:marLeft w:val="0"/>
              <w:marRight w:val="0"/>
              <w:marTop w:val="0"/>
              <w:marBottom w:val="0"/>
              <w:divBdr>
                <w:top w:val="none" w:sz="0" w:space="0" w:color="auto"/>
                <w:left w:val="none" w:sz="0" w:space="0" w:color="auto"/>
                <w:bottom w:val="none" w:sz="0" w:space="0" w:color="auto"/>
                <w:right w:val="none" w:sz="0" w:space="0" w:color="auto"/>
              </w:divBdr>
              <w:divsChild>
                <w:div w:id="1967855911">
                  <w:marLeft w:val="0"/>
                  <w:marRight w:val="0"/>
                  <w:marTop w:val="0"/>
                  <w:marBottom w:val="0"/>
                  <w:divBdr>
                    <w:top w:val="none" w:sz="0" w:space="0" w:color="auto"/>
                    <w:left w:val="none" w:sz="0" w:space="0" w:color="auto"/>
                    <w:bottom w:val="none" w:sz="0" w:space="0" w:color="auto"/>
                    <w:right w:val="none" w:sz="0" w:space="0" w:color="auto"/>
                  </w:divBdr>
                  <w:divsChild>
                    <w:div w:id="4672654">
                      <w:marLeft w:val="0"/>
                      <w:marRight w:val="0"/>
                      <w:marTop w:val="0"/>
                      <w:marBottom w:val="0"/>
                      <w:divBdr>
                        <w:top w:val="none" w:sz="0" w:space="0" w:color="auto"/>
                        <w:left w:val="none" w:sz="0" w:space="0" w:color="auto"/>
                        <w:bottom w:val="none" w:sz="0" w:space="0" w:color="auto"/>
                        <w:right w:val="none" w:sz="0" w:space="0" w:color="auto"/>
                      </w:divBdr>
                      <w:divsChild>
                        <w:div w:id="2141068303">
                          <w:marLeft w:val="0"/>
                          <w:marRight w:val="0"/>
                          <w:marTop w:val="0"/>
                          <w:marBottom w:val="0"/>
                          <w:divBdr>
                            <w:top w:val="none" w:sz="0" w:space="0" w:color="auto"/>
                            <w:left w:val="none" w:sz="0" w:space="0" w:color="auto"/>
                            <w:bottom w:val="none" w:sz="0" w:space="0" w:color="auto"/>
                            <w:right w:val="none" w:sz="0" w:space="0" w:color="auto"/>
                          </w:divBdr>
                          <w:divsChild>
                            <w:div w:id="19728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89917">
      <w:bodyDiv w:val="1"/>
      <w:marLeft w:val="0"/>
      <w:marRight w:val="0"/>
      <w:marTop w:val="0"/>
      <w:marBottom w:val="300"/>
      <w:divBdr>
        <w:top w:val="none" w:sz="0" w:space="0" w:color="auto"/>
        <w:left w:val="none" w:sz="0" w:space="0" w:color="auto"/>
        <w:bottom w:val="none" w:sz="0" w:space="0" w:color="auto"/>
        <w:right w:val="none" w:sz="0" w:space="0" w:color="auto"/>
      </w:divBdr>
      <w:divsChild>
        <w:div w:id="1126509246">
          <w:marLeft w:val="0"/>
          <w:marRight w:val="0"/>
          <w:marTop w:val="0"/>
          <w:marBottom w:val="0"/>
          <w:divBdr>
            <w:top w:val="none" w:sz="0" w:space="0" w:color="auto"/>
            <w:left w:val="none" w:sz="0" w:space="0" w:color="auto"/>
            <w:bottom w:val="none" w:sz="0" w:space="0" w:color="auto"/>
            <w:right w:val="none" w:sz="0" w:space="0" w:color="auto"/>
          </w:divBdr>
          <w:divsChild>
            <w:div w:id="13663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9602">
      <w:bodyDiv w:val="1"/>
      <w:marLeft w:val="0"/>
      <w:marRight w:val="0"/>
      <w:marTop w:val="0"/>
      <w:marBottom w:val="300"/>
      <w:divBdr>
        <w:top w:val="none" w:sz="0" w:space="0" w:color="auto"/>
        <w:left w:val="none" w:sz="0" w:space="0" w:color="auto"/>
        <w:bottom w:val="none" w:sz="0" w:space="0" w:color="auto"/>
        <w:right w:val="none" w:sz="0" w:space="0" w:color="auto"/>
      </w:divBdr>
      <w:divsChild>
        <w:div w:id="1682050281">
          <w:marLeft w:val="0"/>
          <w:marRight w:val="0"/>
          <w:marTop w:val="0"/>
          <w:marBottom w:val="0"/>
          <w:divBdr>
            <w:top w:val="none" w:sz="0" w:space="0" w:color="auto"/>
            <w:left w:val="none" w:sz="0" w:space="0" w:color="auto"/>
            <w:bottom w:val="none" w:sz="0" w:space="0" w:color="auto"/>
            <w:right w:val="none" w:sz="0" w:space="0" w:color="auto"/>
          </w:divBdr>
          <w:divsChild>
            <w:div w:id="1184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YHQU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021B-2F0E-4013-B86D-CBE85E80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RAYHQUN</Template>
  <TotalTime>2</TotalTime>
  <Pages>5</Pages>
  <Words>1914</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Rayonier	Corporate Headquarters</vt:lpstr>
    </vt:vector>
  </TitlesOfParts>
  <Company>Rayonier</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Rayonier	Corporate Headquarters</dc:title>
  <dc:subject/>
  <dc:creator>Florence Verrier</dc:creator>
  <cp:keywords/>
  <cp:lastModifiedBy>Brenda Davis</cp:lastModifiedBy>
  <cp:revision>3</cp:revision>
  <cp:lastPrinted>2014-02-16T21:58:00Z</cp:lastPrinted>
  <dcterms:created xsi:type="dcterms:W3CDTF">2025-05-06T19:59:00Z</dcterms:created>
  <dcterms:modified xsi:type="dcterms:W3CDTF">2025-07-17T12:37:00Z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122163018.4</vt:lpwstr>
  </property>
</Properties>
</file>